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C0E8" w14:textId="77777777" w:rsidR="00366354" w:rsidRPr="00D07D31" w:rsidRDefault="00366354" w:rsidP="00366354">
      <w:pPr>
        <w:autoSpaceDE w:val="0"/>
        <w:autoSpaceDN w:val="0"/>
        <w:adjustRightInd w:val="0"/>
        <w:jc w:val="center"/>
        <w:outlineLvl w:val="0"/>
        <w:rPr>
          <w:b/>
          <w:bCs/>
          <w:sz w:val="22"/>
          <w:szCs w:val="22"/>
        </w:rPr>
      </w:pPr>
      <w:r>
        <w:rPr>
          <w:b/>
          <w:bCs/>
          <w:sz w:val="22"/>
          <w:szCs w:val="22"/>
        </w:rPr>
        <w:t>D</w:t>
      </w:r>
      <w:r w:rsidRPr="00D07D31">
        <w:rPr>
          <w:b/>
          <w:bCs/>
          <w:sz w:val="22"/>
          <w:szCs w:val="22"/>
        </w:rPr>
        <w:t>ISCLOSURE AND AUTHORIZATION REGARDING BACKGROUND INVESTIGATION FOR EMPLOYMENT PURPOSES</w:t>
      </w:r>
    </w:p>
    <w:p w14:paraId="65EB7A5E" w14:textId="77777777" w:rsidR="00366354" w:rsidRPr="00D07D31" w:rsidRDefault="00366354" w:rsidP="00366354">
      <w:pPr>
        <w:autoSpaceDE w:val="0"/>
        <w:autoSpaceDN w:val="0"/>
        <w:adjustRightInd w:val="0"/>
        <w:jc w:val="center"/>
        <w:outlineLvl w:val="0"/>
        <w:rPr>
          <w:b/>
          <w:bCs/>
          <w:sz w:val="22"/>
          <w:szCs w:val="22"/>
        </w:rPr>
      </w:pPr>
    </w:p>
    <w:p w14:paraId="15C24C2E" w14:textId="77777777" w:rsidR="00366354" w:rsidRPr="009F4CB2" w:rsidRDefault="00366354" w:rsidP="00366354">
      <w:pPr>
        <w:autoSpaceDE w:val="0"/>
        <w:autoSpaceDN w:val="0"/>
        <w:adjustRightInd w:val="0"/>
        <w:jc w:val="center"/>
        <w:outlineLvl w:val="0"/>
        <w:rPr>
          <w:b/>
          <w:bCs/>
          <w:sz w:val="22"/>
          <w:szCs w:val="22"/>
          <w:u w:val="single"/>
        </w:rPr>
      </w:pPr>
      <w:r w:rsidRPr="009F4CB2">
        <w:rPr>
          <w:b/>
          <w:bCs/>
          <w:sz w:val="22"/>
          <w:szCs w:val="22"/>
          <w:u w:val="single"/>
        </w:rPr>
        <w:t xml:space="preserve">Disclosure </w:t>
      </w:r>
    </w:p>
    <w:p w14:paraId="59F146FE" w14:textId="77777777" w:rsidR="00366354" w:rsidRPr="00420076" w:rsidRDefault="00366354" w:rsidP="00366354">
      <w:pPr>
        <w:jc w:val="both"/>
        <w:rPr>
          <w:sz w:val="20"/>
          <w:szCs w:val="20"/>
        </w:rPr>
      </w:pPr>
      <w:r w:rsidRPr="00420076">
        <w:rPr>
          <w:sz w:val="20"/>
          <w:szCs w:val="20"/>
        </w:rPr>
        <w:t xml:space="preserve">Arrowhead Deck and Concrete, LLC (the “Company”) may request from a consumer reporting agency and for employment-related purposes, a “consumer report(s)” (commonly known as “background reports”) containing background information about you in connection with your employment, or application for employment, or engagement for services (including independent contractor or volunteer assignments, as applicable).  </w:t>
      </w:r>
    </w:p>
    <w:p w14:paraId="183D66A7" w14:textId="77777777" w:rsidR="00366354" w:rsidRPr="00420076" w:rsidRDefault="00366354" w:rsidP="00366354">
      <w:pPr>
        <w:autoSpaceDE w:val="0"/>
        <w:autoSpaceDN w:val="0"/>
        <w:adjustRightInd w:val="0"/>
        <w:rPr>
          <w:sz w:val="20"/>
          <w:szCs w:val="20"/>
        </w:rPr>
      </w:pPr>
    </w:p>
    <w:p w14:paraId="0697C91F" w14:textId="77777777" w:rsidR="00366354" w:rsidRPr="00420076" w:rsidRDefault="00366354" w:rsidP="00366354">
      <w:pPr>
        <w:autoSpaceDE w:val="0"/>
        <w:autoSpaceDN w:val="0"/>
        <w:adjustRightInd w:val="0"/>
        <w:jc w:val="both"/>
        <w:rPr>
          <w:sz w:val="20"/>
          <w:szCs w:val="20"/>
        </w:rPr>
      </w:pPr>
      <w:r w:rsidRPr="00420076">
        <w:rPr>
          <w:sz w:val="20"/>
          <w:szCs w:val="20"/>
        </w:rPr>
        <w:t xml:space="preserve">HireRight, LLC (“HireRight”) will prepare or assemble the background reports for the Company.  HireRight is located and can be contacted at 3349 Michelson Drive, Suite 150, Irvine, CA 92612, (800) 400-2761, </w:t>
      </w:r>
      <w:hyperlink r:id="rId7" w:history="1">
        <w:r w:rsidRPr="00420076">
          <w:rPr>
            <w:rStyle w:val="Hyperlink"/>
            <w:sz w:val="20"/>
            <w:szCs w:val="20"/>
          </w:rPr>
          <w:t>www.hireright.com</w:t>
        </w:r>
      </w:hyperlink>
      <w:r w:rsidRPr="00420076">
        <w:rPr>
          <w:sz w:val="20"/>
          <w:szCs w:val="20"/>
        </w:rPr>
        <w:t xml:space="preserve">.  </w:t>
      </w:r>
    </w:p>
    <w:p w14:paraId="080B6370" w14:textId="77777777" w:rsidR="00366354" w:rsidRPr="00420076" w:rsidRDefault="00420076" w:rsidP="00420076">
      <w:pPr>
        <w:tabs>
          <w:tab w:val="left" w:pos="5976"/>
        </w:tabs>
        <w:autoSpaceDE w:val="0"/>
        <w:autoSpaceDN w:val="0"/>
        <w:adjustRightInd w:val="0"/>
        <w:jc w:val="both"/>
        <w:rPr>
          <w:sz w:val="20"/>
          <w:szCs w:val="20"/>
        </w:rPr>
      </w:pPr>
      <w:r w:rsidRPr="00420076">
        <w:rPr>
          <w:sz w:val="20"/>
          <w:szCs w:val="20"/>
        </w:rPr>
        <w:tab/>
      </w:r>
    </w:p>
    <w:p w14:paraId="37F26381" w14:textId="77777777" w:rsidR="00366354" w:rsidRPr="00420076" w:rsidRDefault="00366354" w:rsidP="00366354">
      <w:pPr>
        <w:autoSpaceDE w:val="0"/>
        <w:autoSpaceDN w:val="0"/>
        <w:adjustRightInd w:val="0"/>
        <w:jc w:val="both"/>
        <w:rPr>
          <w:sz w:val="20"/>
          <w:szCs w:val="20"/>
        </w:rPr>
      </w:pPr>
      <w:r w:rsidRPr="00420076">
        <w:rPr>
          <w:sz w:val="20"/>
          <w:szCs w:val="20"/>
        </w:rPr>
        <w:t xml:space="preserve">The background report(s) may contain information concerning your character, general reputation, personal characteristics, mode of living, or credit standing.  The types of background information that may be obtained include, but are not limited to: criminal history; litigation history; motor vehicle record and accident history; social security number verification; address and alias history; credit history; verification of your education, employment and earnings history; professional licensing, credential and certification checks; drug/alcohol testing results and history; military service; and other information.   </w:t>
      </w:r>
    </w:p>
    <w:p w14:paraId="68E01EF5" w14:textId="77777777" w:rsidR="00366354" w:rsidRPr="00420076" w:rsidRDefault="00366354" w:rsidP="00366354">
      <w:pPr>
        <w:autoSpaceDE w:val="0"/>
        <w:autoSpaceDN w:val="0"/>
        <w:adjustRightInd w:val="0"/>
        <w:jc w:val="both"/>
        <w:rPr>
          <w:sz w:val="20"/>
          <w:szCs w:val="20"/>
        </w:rPr>
      </w:pPr>
    </w:p>
    <w:p w14:paraId="791087B3" w14:textId="77777777" w:rsidR="00366354" w:rsidRPr="00420076" w:rsidRDefault="00366354" w:rsidP="00366354">
      <w:pPr>
        <w:autoSpaceDE w:val="0"/>
        <w:autoSpaceDN w:val="0"/>
        <w:adjustRightInd w:val="0"/>
        <w:jc w:val="center"/>
        <w:rPr>
          <w:b/>
          <w:bCs/>
          <w:sz w:val="20"/>
          <w:szCs w:val="20"/>
          <w:u w:val="single"/>
        </w:rPr>
      </w:pPr>
      <w:r w:rsidRPr="00420076">
        <w:rPr>
          <w:b/>
          <w:sz w:val="20"/>
          <w:szCs w:val="20"/>
          <w:u w:val="single"/>
        </w:rPr>
        <w:t>Authorization</w:t>
      </w:r>
    </w:p>
    <w:p w14:paraId="0A32D10C" w14:textId="77777777" w:rsidR="00366354" w:rsidRPr="00420076" w:rsidRDefault="00366354" w:rsidP="00366354">
      <w:pPr>
        <w:autoSpaceDE w:val="0"/>
        <w:autoSpaceDN w:val="0"/>
        <w:adjustRightInd w:val="0"/>
        <w:jc w:val="center"/>
        <w:rPr>
          <w:b/>
          <w:sz w:val="20"/>
          <w:szCs w:val="20"/>
        </w:rPr>
      </w:pPr>
    </w:p>
    <w:p w14:paraId="5A8A65F1" w14:textId="77777777" w:rsidR="00366354" w:rsidRPr="00420076" w:rsidRDefault="00366354" w:rsidP="00366354">
      <w:pPr>
        <w:autoSpaceDE w:val="0"/>
        <w:autoSpaceDN w:val="0"/>
        <w:adjustRightInd w:val="0"/>
        <w:jc w:val="both"/>
        <w:rPr>
          <w:sz w:val="20"/>
          <w:szCs w:val="20"/>
        </w:rPr>
      </w:pPr>
      <w:r w:rsidRPr="00420076">
        <w:rPr>
          <w:sz w:val="20"/>
          <w:szCs w:val="20"/>
        </w:rPr>
        <w:t>I hereby authorize Company to obtain the consumer reports described above about me.</w:t>
      </w:r>
    </w:p>
    <w:p w14:paraId="0A75AB51" w14:textId="77777777" w:rsidR="00366354" w:rsidRPr="0069262E" w:rsidRDefault="00366354" w:rsidP="00366354">
      <w:pPr>
        <w:autoSpaceDE w:val="0"/>
        <w:autoSpaceDN w:val="0"/>
        <w:adjustRightInd w:val="0"/>
        <w:jc w:val="both"/>
        <w:rPr>
          <w:sz w:val="22"/>
          <w:szCs w:val="22"/>
        </w:rPr>
      </w:pPr>
    </w:p>
    <w:p w14:paraId="5F39F0F4" w14:textId="77777777" w:rsidR="00366354" w:rsidRPr="005C1E15" w:rsidRDefault="00366354" w:rsidP="00366354">
      <w:pPr>
        <w:pStyle w:val="Header"/>
        <w:tabs>
          <w:tab w:val="left" w:pos="3600"/>
          <w:tab w:val="left" w:pos="6660"/>
        </w:tabs>
        <w:spacing w:before="240"/>
        <w:jc w:val="both"/>
        <w:rPr>
          <w:sz w:val="22"/>
          <w:szCs w:val="22"/>
          <w:highlight w:val="yellow"/>
        </w:rPr>
      </w:pPr>
      <w:r w:rsidRPr="005C1E15">
        <w:rPr>
          <w:sz w:val="22"/>
          <w:szCs w:val="22"/>
          <w:highlight w:val="yellow"/>
        </w:rPr>
        <w:t>Applicant Name ________________________________</w:t>
      </w:r>
      <w:r w:rsidRPr="005C1E15">
        <w:rPr>
          <w:sz w:val="22"/>
          <w:szCs w:val="22"/>
          <w:highlight w:val="yellow"/>
        </w:rPr>
        <w:tab/>
      </w:r>
    </w:p>
    <w:p w14:paraId="4CDDB920" w14:textId="77777777" w:rsidR="00366354" w:rsidRPr="00D07D31" w:rsidRDefault="00366354" w:rsidP="00366354">
      <w:pPr>
        <w:pStyle w:val="Header"/>
        <w:tabs>
          <w:tab w:val="left" w:pos="3600"/>
          <w:tab w:val="left" w:pos="6660"/>
        </w:tabs>
        <w:spacing w:before="240"/>
        <w:jc w:val="both"/>
        <w:rPr>
          <w:sz w:val="22"/>
          <w:szCs w:val="22"/>
          <w:u w:val="single"/>
        </w:rPr>
      </w:pPr>
      <w:r w:rsidRPr="005C1E15">
        <w:rPr>
          <w:sz w:val="22"/>
          <w:szCs w:val="22"/>
          <w:highlight w:val="yellow"/>
        </w:rPr>
        <w:t>Applicant Signature ________________________________</w:t>
      </w:r>
      <w:r w:rsidRPr="005C1E15">
        <w:rPr>
          <w:sz w:val="22"/>
          <w:szCs w:val="22"/>
          <w:highlight w:val="yellow"/>
        </w:rPr>
        <w:tab/>
        <w:t>Date</w:t>
      </w:r>
      <w:r w:rsidRPr="00D07D31">
        <w:rPr>
          <w:sz w:val="22"/>
          <w:szCs w:val="22"/>
          <w:u w:val="single"/>
        </w:rPr>
        <w:tab/>
      </w:r>
    </w:p>
    <w:p w14:paraId="7113DD75" w14:textId="77777777" w:rsidR="00366354" w:rsidRPr="00D07D31" w:rsidRDefault="00366354" w:rsidP="00366354">
      <w:pPr>
        <w:autoSpaceDE w:val="0"/>
        <w:autoSpaceDN w:val="0"/>
        <w:adjustRightInd w:val="0"/>
        <w:rPr>
          <w:sz w:val="22"/>
          <w:szCs w:val="22"/>
        </w:rPr>
      </w:pPr>
    </w:p>
    <w:p w14:paraId="2223D3BB" w14:textId="77777777" w:rsidR="00366354" w:rsidRPr="0069262E" w:rsidRDefault="00366354" w:rsidP="00366354">
      <w:pPr>
        <w:autoSpaceDE w:val="0"/>
        <w:autoSpaceDN w:val="0"/>
        <w:adjustRightInd w:val="0"/>
        <w:jc w:val="both"/>
        <w:rPr>
          <w:sz w:val="22"/>
          <w:szCs w:val="22"/>
        </w:rPr>
      </w:pPr>
    </w:p>
    <w:p w14:paraId="537E7B15" w14:textId="77777777" w:rsidR="00366354" w:rsidRDefault="00366354" w:rsidP="00366354">
      <w:pPr>
        <w:autoSpaceDE w:val="0"/>
        <w:autoSpaceDN w:val="0"/>
        <w:adjustRightInd w:val="0"/>
        <w:jc w:val="center"/>
        <w:rPr>
          <w:sz w:val="22"/>
          <w:szCs w:val="22"/>
        </w:rPr>
      </w:pPr>
      <w:r w:rsidRPr="0069262E">
        <w:rPr>
          <w:sz w:val="22"/>
          <w:szCs w:val="22"/>
        </w:rPr>
        <w:t>[END OF DOCUMENT]</w:t>
      </w:r>
    </w:p>
    <w:p w14:paraId="3644BFC7" w14:textId="77777777" w:rsidR="00366354" w:rsidRDefault="00366354" w:rsidP="00366354">
      <w:pPr>
        <w:autoSpaceDE w:val="0"/>
        <w:autoSpaceDN w:val="0"/>
        <w:adjustRightInd w:val="0"/>
        <w:jc w:val="center"/>
        <w:rPr>
          <w:sz w:val="22"/>
          <w:szCs w:val="22"/>
        </w:rPr>
      </w:pPr>
    </w:p>
    <w:p w14:paraId="067E0565" w14:textId="77777777" w:rsidR="00366354" w:rsidRDefault="00366354" w:rsidP="00366354">
      <w:pPr>
        <w:widowControl w:val="0"/>
        <w:jc w:val="center"/>
        <w:rPr>
          <w:b/>
          <w:sz w:val="22"/>
          <w:szCs w:val="22"/>
        </w:rPr>
      </w:pPr>
      <w:r w:rsidRPr="0094075B">
        <w:rPr>
          <w:b/>
          <w:sz w:val="22"/>
          <w:szCs w:val="22"/>
        </w:rPr>
        <w:t>PLEASE PROCEED</w:t>
      </w:r>
      <w:r>
        <w:rPr>
          <w:b/>
          <w:sz w:val="22"/>
          <w:szCs w:val="22"/>
        </w:rPr>
        <w:t xml:space="preserve"> </w:t>
      </w:r>
      <w:r w:rsidRPr="0094075B">
        <w:rPr>
          <w:b/>
          <w:sz w:val="22"/>
          <w:szCs w:val="22"/>
        </w:rPr>
        <w:t xml:space="preserve">TO THE NEXT </w:t>
      </w:r>
      <w:r w:rsidRPr="00957C7E">
        <w:rPr>
          <w:b/>
          <w:sz w:val="22"/>
          <w:szCs w:val="22"/>
        </w:rPr>
        <w:t>DOCUMENT ENTITLED:</w:t>
      </w:r>
      <w:r w:rsidRPr="0094075B">
        <w:rPr>
          <w:b/>
          <w:sz w:val="22"/>
          <w:szCs w:val="22"/>
        </w:rPr>
        <w:t xml:space="preserve"> </w:t>
      </w:r>
    </w:p>
    <w:p w14:paraId="2BA1ADD6" w14:textId="77777777" w:rsidR="00366354" w:rsidRDefault="00366354" w:rsidP="00366354">
      <w:pPr>
        <w:widowControl w:val="0"/>
        <w:jc w:val="center"/>
        <w:rPr>
          <w:b/>
          <w:sz w:val="22"/>
          <w:szCs w:val="22"/>
        </w:rPr>
      </w:pPr>
    </w:p>
    <w:p w14:paraId="7496C2C8" w14:textId="77777777" w:rsidR="00366354" w:rsidRPr="00957C7E" w:rsidRDefault="00366354" w:rsidP="00366354">
      <w:pPr>
        <w:widowControl w:val="0"/>
        <w:jc w:val="center"/>
        <w:rPr>
          <w:rFonts w:ascii="Times New Roman Bold" w:hAnsi="Times New Roman Bold"/>
          <w:color w:val="FF0000"/>
          <w:sz w:val="22"/>
          <w:szCs w:val="22"/>
        </w:rPr>
        <w:sectPr w:rsidR="00366354" w:rsidRPr="00957C7E" w:rsidSect="001417CE">
          <w:headerReference w:type="first" r:id="rId8"/>
          <w:footerReference w:type="first" r:id="rId9"/>
          <w:pgSz w:w="12240" w:h="15840" w:code="1"/>
          <w:pgMar w:top="1080" w:right="1152" w:bottom="360" w:left="1152" w:header="720" w:footer="288" w:gutter="0"/>
          <w:pgNumType w:start="1"/>
          <w:cols w:space="720"/>
          <w:noEndnote/>
          <w:titlePg/>
        </w:sectPr>
      </w:pPr>
      <w:r>
        <w:rPr>
          <w:b/>
          <w:sz w:val="22"/>
          <w:szCs w:val="22"/>
        </w:rPr>
        <w:t>“</w:t>
      </w:r>
      <w:r>
        <w:rPr>
          <w:b/>
          <w:sz w:val="22"/>
          <w:szCs w:val="22"/>
          <w:u w:val="single"/>
        </w:rPr>
        <w:t xml:space="preserve">OTHER DISCLOSURES, ACKNOWLEDGMENTS &amp; AUTHORIZATIONS </w:t>
      </w:r>
      <w:r w:rsidRPr="00317A8F">
        <w:rPr>
          <w:b/>
          <w:bCs/>
          <w:sz w:val="22"/>
          <w:szCs w:val="22"/>
          <w:u w:val="single"/>
        </w:rPr>
        <w:t>REGARDING BACKGROUND INVESTIGATION</w:t>
      </w:r>
      <w:r>
        <w:rPr>
          <w:b/>
          <w:bCs/>
          <w:sz w:val="22"/>
          <w:szCs w:val="22"/>
          <w:u w:val="single"/>
        </w:rPr>
        <w:t xml:space="preserve"> FOR EMPLOYMENT PURPOSES</w:t>
      </w:r>
      <w:r w:rsidRPr="00957C7E">
        <w:rPr>
          <w:rFonts w:ascii="Times New Roman Bold" w:hAnsi="Times New Roman Bold"/>
          <w:sz w:val="22"/>
          <w:szCs w:val="22"/>
        </w:rPr>
        <w:t>”</w:t>
      </w:r>
    </w:p>
    <w:p w14:paraId="56BB5CE7" w14:textId="77777777" w:rsidR="00366354" w:rsidRDefault="00366354" w:rsidP="00366354">
      <w:pPr>
        <w:autoSpaceDE w:val="0"/>
        <w:autoSpaceDN w:val="0"/>
        <w:adjustRightInd w:val="0"/>
        <w:spacing w:before="120"/>
        <w:jc w:val="center"/>
        <w:outlineLvl w:val="0"/>
        <w:rPr>
          <w:b/>
          <w:sz w:val="22"/>
          <w:szCs w:val="22"/>
          <w:u w:val="single"/>
        </w:rPr>
      </w:pPr>
      <w:r>
        <w:rPr>
          <w:b/>
          <w:sz w:val="22"/>
          <w:szCs w:val="22"/>
          <w:u w:val="single"/>
        </w:rPr>
        <w:lastRenderedPageBreak/>
        <w:t xml:space="preserve">OTHER DISCLOSURES, ACKNOWLEDGMENTS &amp; AUTHORIZATIONS </w:t>
      </w:r>
      <w:r w:rsidRPr="00317A8F">
        <w:rPr>
          <w:b/>
          <w:bCs/>
          <w:sz w:val="22"/>
          <w:szCs w:val="22"/>
          <w:u w:val="single"/>
        </w:rPr>
        <w:t>REGARDING BACKGROUND INVESTIGATION</w:t>
      </w:r>
      <w:r>
        <w:rPr>
          <w:b/>
          <w:bCs/>
          <w:sz w:val="22"/>
          <w:szCs w:val="22"/>
          <w:u w:val="single"/>
        </w:rPr>
        <w:t xml:space="preserve"> FOR EMPLOYMENT PURPOSES</w:t>
      </w:r>
    </w:p>
    <w:p w14:paraId="6CE7F9A2" w14:textId="77777777" w:rsidR="00366354" w:rsidRDefault="00366354" w:rsidP="00366354">
      <w:pPr>
        <w:pStyle w:val="Address"/>
        <w:spacing w:before="120"/>
        <w:jc w:val="both"/>
        <w:rPr>
          <w:rFonts w:ascii="Times New Roman" w:hAnsi="Times New Roman"/>
          <w:sz w:val="22"/>
          <w:szCs w:val="22"/>
        </w:rPr>
      </w:pPr>
    </w:p>
    <w:p w14:paraId="1A60B563" w14:textId="77777777" w:rsidR="00366354" w:rsidRDefault="00366354" w:rsidP="00366354">
      <w:pPr>
        <w:autoSpaceDE w:val="0"/>
        <w:autoSpaceDN w:val="0"/>
        <w:adjustRightInd w:val="0"/>
        <w:jc w:val="center"/>
        <w:rPr>
          <w:b/>
          <w:bCs/>
          <w:sz w:val="22"/>
          <w:szCs w:val="22"/>
        </w:rPr>
      </w:pPr>
      <w:r>
        <w:rPr>
          <w:b/>
          <w:sz w:val="22"/>
          <w:szCs w:val="22"/>
          <w:u w:val="single"/>
        </w:rPr>
        <w:t>Disclosures</w:t>
      </w:r>
    </w:p>
    <w:p w14:paraId="0B1B626C" w14:textId="77777777" w:rsidR="00366354" w:rsidRDefault="00366354" w:rsidP="00366354">
      <w:pPr>
        <w:autoSpaceDE w:val="0"/>
        <w:autoSpaceDN w:val="0"/>
        <w:adjustRightInd w:val="0"/>
        <w:jc w:val="both"/>
        <w:rPr>
          <w:b/>
          <w:bCs/>
          <w:sz w:val="22"/>
          <w:szCs w:val="22"/>
        </w:rPr>
      </w:pPr>
    </w:p>
    <w:p w14:paraId="349B7957" w14:textId="77777777" w:rsidR="00366354" w:rsidRPr="00420076" w:rsidRDefault="00366354" w:rsidP="00366354">
      <w:pPr>
        <w:autoSpaceDE w:val="0"/>
        <w:autoSpaceDN w:val="0"/>
        <w:adjustRightInd w:val="0"/>
        <w:jc w:val="both"/>
        <w:rPr>
          <w:i/>
          <w:sz w:val="20"/>
          <w:szCs w:val="20"/>
          <w:u w:val="single"/>
        </w:rPr>
      </w:pPr>
      <w:r w:rsidRPr="00420076">
        <w:rPr>
          <w:i/>
          <w:sz w:val="20"/>
          <w:szCs w:val="20"/>
          <w:u w:val="single"/>
        </w:rPr>
        <w:t>Investigative Consumer Report:</w:t>
      </w:r>
    </w:p>
    <w:p w14:paraId="4B8AC99C" w14:textId="77777777" w:rsidR="00366354" w:rsidRPr="00420076" w:rsidRDefault="00366354" w:rsidP="00366354">
      <w:pPr>
        <w:autoSpaceDE w:val="0"/>
        <w:autoSpaceDN w:val="0"/>
        <w:adjustRightInd w:val="0"/>
        <w:jc w:val="both"/>
        <w:rPr>
          <w:sz w:val="20"/>
          <w:szCs w:val="20"/>
        </w:rPr>
      </w:pPr>
    </w:p>
    <w:p w14:paraId="266538B2" w14:textId="77777777" w:rsidR="00366354" w:rsidRPr="00420076" w:rsidRDefault="00366354" w:rsidP="00366354">
      <w:pPr>
        <w:autoSpaceDE w:val="0"/>
        <w:autoSpaceDN w:val="0"/>
        <w:adjustRightInd w:val="0"/>
        <w:jc w:val="both"/>
        <w:rPr>
          <w:sz w:val="20"/>
          <w:szCs w:val="20"/>
        </w:rPr>
      </w:pPr>
      <w:r w:rsidRPr="00420076">
        <w:rPr>
          <w:sz w:val="20"/>
          <w:szCs w:val="20"/>
        </w:rPr>
        <w:t>Arrowhead Deck and Concrete, LLC</w:t>
      </w:r>
      <w:r w:rsidRPr="00420076">
        <w:rPr>
          <w:b/>
          <w:bCs/>
          <w:sz w:val="20"/>
          <w:szCs w:val="20"/>
        </w:rPr>
        <w:t xml:space="preserve"> </w:t>
      </w:r>
      <w:r w:rsidRPr="00420076">
        <w:rPr>
          <w:sz w:val="20"/>
          <w:szCs w:val="20"/>
        </w:rPr>
        <w:t>(the “Company”) may request an investigative consumer report about you from HireRight, LLC (“HireRight”), a consumer reporting agency, in connection with your employment, or application for employment, or engagement for services (including independent contractor or volunteer assignments, as applicable).  An “investigative consumer report” is a background report that includes information from personal interviews (except in California, where that term includes background reports with or without information obtained from personal interviews), the most common form of which is checking personal or professional references through personal interviews with sources such as your former employers and associates, and other information sources.  The investigative consumer report may contain information concerning your character, general reputation, personal characteristics, mode of living, or credit standing.  You may request more information about the nature and scope of an investigative consumer report, if any, by contacting the Company.</w:t>
      </w:r>
    </w:p>
    <w:p w14:paraId="143CC209" w14:textId="77777777" w:rsidR="00366354" w:rsidRPr="00420076" w:rsidRDefault="00366354" w:rsidP="00366354">
      <w:pPr>
        <w:autoSpaceDE w:val="0"/>
        <w:autoSpaceDN w:val="0"/>
        <w:adjustRightInd w:val="0"/>
        <w:jc w:val="both"/>
        <w:rPr>
          <w:sz w:val="20"/>
          <w:szCs w:val="20"/>
        </w:rPr>
      </w:pPr>
    </w:p>
    <w:p w14:paraId="79EC7DAD" w14:textId="77777777" w:rsidR="00366354" w:rsidRPr="00420076" w:rsidRDefault="00366354" w:rsidP="00366354">
      <w:pPr>
        <w:autoSpaceDE w:val="0"/>
        <w:autoSpaceDN w:val="0"/>
        <w:adjustRightInd w:val="0"/>
        <w:jc w:val="both"/>
        <w:rPr>
          <w:i/>
          <w:sz w:val="20"/>
          <w:szCs w:val="20"/>
        </w:rPr>
      </w:pPr>
      <w:r w:rsidRPr="00420076">
        <w:rPr>
          <w:i/>
          <w:sz w:val="20"/>
          <w:szCs w:val="20"/>
          <w:u w:val="single"/>
        </w:rPr>
        <w:t>Ongoing Authorization:</w:t>
      </w:r>
    </w:p>
    <w:p w14:paraId="009E4EB6" w14:textId="77777777" w:rsidR="00366354" w:rsidRPr="00420076" w:rsidRDefault="00366354" w:rsidP="00366354">
      <w:pPr>
        <w:autoSpaceDE w:val="0"/>
        <w:autoSpaceDN w:val="0"/>
        <w:adjustRightInd w:val="0"/>
        <w:jc w:val="both"/>
        <w:rPr>
          <w:sz w:val="20"/>
          <w:szCs w:val="20"/>
        </w:rPr>
      </w:pPr>
    </w:p>
    <w:p w14:paraId="543E4F24" w14:textId="77777777" w:rsidR="00366354" w:rsidRPr="00420076" w:rsidRDefault="00366354" w:rsidP="00366354">
      <w:pPr>
        <w:autoSpaceDE w:val="0"/>
        <w:autoSpaceDN w:val="0"/>
        <w:adjustRightInd w:val="0"/>
        <w:jc w:val="both"/>
        <w:rPr>
          <w:sz w:val="20"/>
          <w:szCs w:val="20"/>
        </w:rPr>
      </w:pPr>
      <w:r w:rsidRPr="00420076">
        <w:rPr>
          <w:sz w:val="20"/>
          <w:szCs w:val="20"/>
        </w:rPr>
        <w:t xml:space="preserve">If the Company hires you or contracts for your services, the Company may obtain additional consumer reports and investigative consumer reports about you without asking for your authorization again, throughout your employment or your contract period, as allowed by law. </w:t>
      </w:r>
    </w:p>
    <w:p w14:paraId="756F0CAA" w14:textId="77777777" w:rsidR="00366354" w:rsidRPr="00420076" w:rsidRDefault="00366354" w:rsidP="00366354">
      <w:pPr>
        <w:autoSpaceDE w:val="0"/>
        <w:autoSpaceDN w:val="0"/>
        <w:adjustRightInd w:val="0"/>
        <w:jc w:val="both"/>
        <w:rPr>
          <w:sz w:val="20"/>
          <w:szCs w:val="20"/>
        </w:rPr>
      </w:pPr>
    </w:p>
    <w:p w14:paraId="4045D357" w14:textId="77777777" w:rsidR="00366354" w:rsidRPr="00420076" w:rsidRDefault="00366354" w:rsidP="00366354">
      <w:pPr>
        <w:autoSpaceDE w:val="0"/>
        <w:autoSpaceDN w:val="0"/>
        <w:adjustRightInd w:val="0"/>
        <w:jc w:val="both"/>
        <w:rPr>
          <w:i/>
          <w:sz w:val="20"/>
          <w:szCs w:val="20"/>
          <w:u w:val="single"/>
        </w:rPr>
      </w:pPr>
      <w:r w:rsidRPr="00420076">
        <w:rPr>
          <w:i/>
          <w:sz w:val="20"/>
          <w:szCs w:val="20"/>
          <w:u w:val="single"/>
        </w:rPr>
        <w:t>Additional State Law Notices:</w:t>
      </w:r>
    </w:p>
    <w:p w14:paraId="51C97491" w14:textId="77777777" w:rsidR="00366354" w:rsidRPr="00420076" w:rsidRDefault="00366354" w:rsidP="00366354">
      <w:pPr>
        <w:autoSpaceDE w:val="0"/>
        <w:autoSpaceDN w:val="0"/>
        <w:adjustRightInd w:val="0"/>
        <w:jc w:val="both"/>
        <w:rPr>
          <w:sz w:val="20"/>
          <w:szCs w:val="20"/>
        </w:rPr>
      </w:pPr>
    </w:p>
    <w:p w14:paraId="3889AEDA" w14:textId="77777777" w:rsidR="00366354" w:rsidRPr="00420076" w:rsidRDefault="00366354" w:rsidP="00366354">
      <w:pPr>
        <w:autoSpaceDE w:val="0"/>
        <w:autoSpaceDN w:val="0"/>
        <w:adjustRightInd w:val="0"/>
        <w:jc w:val="both"/>
        <w:rPr>
          <w:sz w:val="20"/>
          <w:szCs w:val="20"/>
        </w:rPr>
      </w:pPr>
      <w:r w:rsidRPr="00420076">
        <w:rPr>
          <w:sz w:val="20"/>
          <w:szCs w:val="20"/>
        </w:rPr>
        <w:t xml:space="preserve">Please see the “Additional State Law Notices” for California, Massachusetts, Minnesota, New Jersey, New York, and Washington that are provided below, as applicable.  A California disclosure and summary of your rights </w:t>
      </w:r>
      <w:r w:rsidRPr="00420076">
        <w:rPr>
          <w:bCs/>
          <w:sz w:val="20"/>
          <w:szCs w:val="20"/>
        </w:rPr>
        <w:t>under California Civil Code Section 1786.22, and a copy of New York Article 23-A, are being provided to you separately.</w:t>
      </w:r>
    </w:p>
    <w:p w14:paraId="1505A250" w14:textId="77777777" w:rsidR="00366354" w:rsidRPr="00420076" w:rsidRDefault="00366354" w:rsidP="00366354">
      <w:pPr>
        <w:autoSpaceDE w:val="0"/>
        <w:autoSpaceDN w:val="0"/>
        <w:adjustRightInd w:val="0"/>
        <w:jc w:val="both"/>
        <w:rPr>
          <w:sz w:val="20"/>
          <w:szCs w:val="20"/>
        </w:rPr>
      </w:pPr>
    </w:p>
    <w:p w14:paraId="1430849F" w14:textId="77777777" w:rsidR="00366354" w:rsidRPr="00420076" w:rsidRDefault="00366354" w:rsidP="00366354">
      <w:pPr>
        <w:autoSpaceDE w:val="0"/>
        <w:autoSpaceDN w:val="0"/>
        <w:adjustRightInd w:val="0"/>
        <w:jc w:val="both"/>
        <w:rPr>
          <w:i/>
          <w:sz w:val="20"/>
          <w:szCs w:val="20"/>
          <w:u w:val="single"/>
        </w:rPr>
      </w:pPr>
      <w:r w:rsidRPr="00420076">
        <w:rPr>
          <w:i/>
          <w:sz w:val="20"/>
          <w:szCs w:val="20"/>
          <w:u w:val="single"/>
        </w:rPr>
        <w:t>Summary of Rights under the Fair Credit Reporting Act:</w:t>
      </w:r>
    </w:p>
    <w:p w14:paraId="245C8C06" w14:textId="77777777" w:rsidR="00366354" w:rsidRPr="00420076" w:rsidRDefault="00366354" w:rsidP="00366354">
      <w:pPr>
        <w:autoSpaceDE w:val="0"/>
        <w:autoSpaceDN w:val="0"/>
        <w:adjustRightInd w:val="0"/>
        <w:jc w:val="both"/>
        <w:rPr>
          <w:sz w:val="20"/>
          <w:szCs w:val="20"/>
        </w:rPr>
      </w:pPr>
    </w:p>
    <w:p w14:paraId="0D7487DE" w14:textId="77777777" w:rsidR="00366354" w:rsidRPr="00420076" w:rsidRDefault="00366354" w:rsidP="00366354">
      <w:pPr>
        <w:autoSpaceDE w:val="0"/>
        <w:autoSpaceDN w:val="0"/>
        <w:adjustRightInd w:val="0"/>
        <w:jc w:val="both"/>
        <w:rPr>
          <w:sz w:val="20"/>
          <w:szCs w:val="20"/>
        </w:rPr>
      </w:pPr>
      <w:r w:rsidRPr="00420076">
        <w:rPr>
          <w:sz w:val="20"/>
          <w:szCs w:val="20"/>
        </w:rPr>
        <w:t>A summary of your rights under the Fair Credit Reporting Act is being provided to you separately.</w:t>
      </w:r>
    </w:p>
    <w:p w14:paraId="4A8D0047" w14:textId="77777777" w:rsidR="00366354" w:rsidRPr="00420076" w:rsidRDefault="00366354" w:rsidP="00366354">
      <w:pPr>
        <w:autoSpaceDE w:val="0"/>
        <w:autoSpaceDN w:val="0"/>
        <w:adjustRightInd w:val="0"/>
        <w:jc w:val="both"/>
        <w:rPr>
          <w:sz w:val="20"/>
          <w:szCs w:val="20"/>
        </w:rPr>
      </w:pPr>
    </w:p>
    <w:p w14:paraId="1E507937" w14:textId="77777777" w:rsidR="00366354" w:rsidRPr="00420076" w:rsidRDefault="00366354" w:rsidP="00366354">
      <w:pPr>
        <w:autoSpaceDE w:val="0"/>
        <w:autoSpaceDN w:val="0"/>
        <w:adjustRightInd w:val="0"/>
        <w:jc w:val="both"/>
        <w:rPr>
          <w:i/>
          <w:sz w:val="20"/>
          <w:szCs w:val="20"/>
          <w:u w:val="single"/>
        </w:rPr>
      </w:pPr>
      <w:r w:rsidRPr="00420076">
        <w:rPr>
          <w:i/>
          <w:sz w:val="20"/>
          <w:szCs w:val="20"/>
          <w:u w:val="single"/>
        </w:rPr>
        <w:t>San Francisco Fair Chance Ordinance Official Notice:</w:t>
      </w:r>
    </w:p>
    <w:p w14:paraId="1046E928" w14:textId="77777777" w:rsidR="00366354" w:rsidRPr="00420076" w:rsidRDefault="00366354" w:rsidP="00366354">
      <w:pPr>
        <w:autoSpaceDE w:val="0"/>
        <w:autoSpaceDN w:val="0"/>
        <w:adjustRightInd w:val="0"/>
        <w:jc w:val="both"/>
        <w:rPr>
          <w:sz w:val="20"/>
          <w:szCs w:val="20"/>
        </w:rPr>
      </w:pPr>
    </w:p>
    <w:p w14:paraId="0B6B6386" w14:textId="77777777" w:rsidR="00366354" w:rsidRPr="00420076" w:rsidRDefault="00366354" w:rsidP="00366354">
      <w:pPr>
        <w:autoSpaceDE w:val="0"/>
        <w:autoSpaceDN w:val="0"/>
        <w:adjustRightInd w:val="0"/>
        <w:jc w:val="both"/>
        <w:rPr>
          <w:sz w:val="20"/>
          <w:szCs w:val="20"/>
        </w:rPr>
      </w:pPr>
      <w:r w:rsidRPr="00420076">
        <w:rPr>
          <w:sz w:val="20"/>
          <w:szCs w:val="20"/>
        </w:rPr>
        <w:t>A copy of the San Francisco Fair Chance Ordinance Official Notice is being provided to you separately.</w:t>
      </w:r>
    </w:p>
    <w:p w14:paraId="31D5C3CD" w14:textId="77777777" w:rsidR="00366354" w:rsidRPr="00420076" w:rsidRDefault="00366354" w:rsidP="00366354">
      <w:pPr>
        <w:autoSpaceDE w:val="0"/>
        <w:autoSpaceDN w:val="0"/>
        <w:adjustRightInd w:val="0"/>
        <w:jc w:val="both"/>
        <w:rPr>
          <w:b/>
          <w:bCs/>
          <w:sz w:val="20"/>
          <w:szCs w:val="20"/>
        </w:rPr>
      </w:pPr>
    </w:p>
    <w:p w14:paraId="70C56B2F" w14:textId="77777777" w:rsidR="00366354" w:rsidRPr="00420076" w:rsidRDefault="00366354" w:rsidP="00366354">
      <w:pPr>
        <w:autoSpaceDE w:val="0"/>
        <w:autoSpaceDN w:val="0"/>
        <w:adjustRightInd w:val="0"/>
        <w:jc w:val="both"/>
        <w:rPr>
          <w:i/>
          <w:sz w:val="20"/>
          <w:szCs w:val="20"/>
          <w:u w:val="single"/>
        </w:rPr>
      </w:pPr>
      <w:r w:rsidRPr="00420076">
        <w:rPr>
          <w:i/>
          <w:sz w:val="20"/>
          <w:szCs w:val="20"/>
          <w:u w:val="single"/>
        </w:rPr>
        <w:t>HireRight Privacy Policy:</w:t>
      </w:r>
    </w:p>
    <w:p w14:paraId="60ADD080" w14:textId="77777777" w:rsidR="00366354" w:rsidRPr="00420076" w:rsidRDefault="00366354" w:rsidP="00366354">
      <w:pPr>
        <w:autoSpaceDE w:val="0"/>
        <w:autoSpaceDN w:val="0"/>
        <w:adjustRightInd w:val="0"/>
        <w:jc w:val="both"/>
        <w:rPr>
          <w:sz w:val="20"/>
          <w:szCs w:val="20"/>
        </w:rPr>
      </w:pPr>
    </w:p>
    <w:p w14:paraId="0724A408" w14:textId="77777777" w:rsidR="00366354" w:rsidRPr="00420076" w:rsidRDefault="00366354" w:rsidP="00366354">
      <w:pPr>
        <w:autoSpaceDE w:val="0"/>
        <w:autoSpaceDN w:val="0"/>
        <w:adjustRightInd w:val="0"/>
        <w:jc w:val="both"/>
        <w:rPr>
          <w:sz w:val="20"/>
          <w:szCs w:val="20"/>
        </w:rPr>
      </w:pPr>
      <w:r w:rsidRPr="00420076">
        <w:rPr>
          <w:sz w:val="20"/>
          <w:szCs w:val="20"/>
        </w:rPr>
        <w:t xml:space="preserve">Information about HireRight’s privacy practices is available at </w:t>
      </w:r>
      <w:hyperlink r:id="rId10" w:history="1">
        <w:r w:rsidRPr="00420076">
          <w:rPr>
            <w:rStyle w:val="Hyperlink"/>
            <w:sz w:val="20"/>
            <w:szCs w:val="20"/>
          </w:rPr>
          <w:t>www.hireright.com/Privacy-Policy.aspx</w:t>
        </w:r>
      </w:hyperlink>
      <w:r w:rsidRPr="00420076">
        <w:rPr>
          <w:sz w:val="20"/>
          <w:szCs w:val="20"/>
        </w:rPr>
        <w:t xml:space="preserve">. </w:t>
      </w:r>
    </w:p>
    <w:p w14:paraId="23B57F1B" w14:textId="77777777" w:rsidR="00366354" w:rsidRPr="00420076" w:rsidRDefault="00366354" w:rsidP="00366354">
      <w:pPr>
        <w:autoSpaceDE w:val="0"/>
        <w:autoSpaceDN w:val="0"/>
        <w:adjustRightInd w:val="0"/>
        <w:jc w:val="both"/>
        <w:rPr>
          <w:sz w:val="20"/>
          <w:szCs w:val="20"/>
        </w:rPr>
      </w:pPr>
    </w:p>
    <w:p w14:paraId="04D9EB21" w14:textId="77777777" w:rsidR="00366354" w:rsidRPr="00420076" w:rsidRDefault="00366354" w:rsidP="00366354">
      <w:pPr>
        <w:keepNext/>
        <w:autoSpaceDE w:val="0"/>
        <w:autoSpaceDN w:val="0"/>
        <w:adjustRightInd w:val="0"/>
        <w:jc w:val="center"/>
        <w:rPr>
          <w:sz w:val="20"/>
          <w:szCs w:val="20"/>
        </w:rPr>
      </w:pPr>
      <w:r w:rsidRPr="00420076">
        <w:rPr>
          <w:b/>
          <w:sz w:val="20"/>
          <w:szCs w:val="20"/>
          <w:u w:val="single"/>
        </w:rPr>
        <w:t>Acknowledgments &amp; Authorization</w:t>
      </w:r>
    </w:p>
    <w:p w14:paraId="371E0CEF" w14:textId="77777777" w:rsidR="00366354" w:rsidRPr="00420076" w:rsidRDefault="00366354" w:rsidP="00366354">
      <w:pPr>
        <w:keepNext/>
        <w:autoSpaceDE w:val="0"/>
        <w:autoSpaceDN w:val="0"/>
        <w:adjustRightInd w:val="0"/>
        <w:jc w:val="both"/>
        <w:rPr>
          <w:sz w:val="20"/>
          <w:szCs w:val="20"/>
        </w:rPr>
      </w:pPr>
    </w:p>
    <w:p w14:paraId="16E2EC4B" w14:textId="77777777" w:rsidR="00366354" w:rsidRPr="00420076" w:rsidRDefault="00366354" w:rsidP="00366354">
      <w:pPr>
        <w:autoSpaceDE w:val="0"/>
        <w:autoSpaceDN w:val="0"/>
        <w:adjustRightInd w:val="0"/>
        <w:jc w:val="both"/>
        <w:rPr>
          <w:sz w:val="20"/>
          <w:szCs w:val="20"/>
        </w:rPr>
      </w:pPr>
      <w:r w:rsidRPr="00420076">
        <w:rPr>
          <w:sz w:val="20"/>
          <w:szCs w:val="20"/>
        </w:rPr>
        <w:t xml:space="preserve">I acknowledge that I have received and carefully read and understand the separate “Disclosure and Authorization Regarding Background Investigation for Employment Purposes”; and the separate “Summary of Rights under the Fair Credit Reporting Act” that have been provided to me by the Company.  I also acknowledge receipt of and that I have carefully read and understand (as applicable), the separate California Disclosure and Summary of Rights </w:t>
      </w:r>
      <w:r w:rsidRPr="00420076">
        <w:rPr>
          <w:bCs/>
          <w:sz w:val="20"/>
          <w:szCs w:val="20"/>
        </w:rPr>
        <w:t xml:space="preserve">under California Civil Code Section 1786.22; the separate New York Article 23-A; and the separate </w:t>
      </w:r>
      <w:r w:rsidRPr="00420076">
        <w:rPr>
          <w:sz w:val="20"/>
          <w:szCs w:val="20"/>
        </w:rPr>
        <w:t>San Francisco Fair Chance Ordinance Official Notice that have been provided to me.</w:t>
      </w:r>
    </w:p>
    <w:p w14:paraId="1A8FA6F4" w14:textId="77777777" w:rsidR="00366354" w:rsidRPr="00420076" w:rsidRDefault="00366354" w:rsidP="00366354">
      <w:pPr>
        <w:autoSpaceDE w:val="0"/>
        <w:autoSpaceDN w:val="0"/>
        <w:adjustRightInd w:val="0"/>
        <w:jc w:val="both"/>
        <w:rPr>
          <w:sz w:val="20"/>
          <w:szCs w:val="20"/>
        </w:rPr>
      </w:pPr>
    </w:p>
    <w:p w14:paraId="1404B0D7" w14:textId="77777777" w:rsidR="00366354" w:rsidRPr="00420076" w:rsidRDefault="00366354" w:rsidP="00366354">
      <w:pPr>
        <w:autoSpaceDE w:val="0"/>
        <w:autoSpaceDN w:val="0"/>
        <w:adjustRightInd w:val="0"/>
        <w:jc w:val="both"/>
        <w:rPr>
          <w:sz w:val="20"/>
          <w:szCs w:val="20"/>
        </w:rPr>
      </w:pPr>
      <w:r w:rsidRPr="00420076">
        <w:rPr>
          <w:sz w:val="20"/>
          <w:szCs w:val="20"/>
        </w:rPr>
        <w:t xml:space="preserve">By my signature below, I authorize the preparation of background reports about me, including background reports that are “investigative consumer reports” by HireRight, and to the furnishing of such background reports to the Company and its designated representatives and agents, for the purpose of assisting the Company in making a determination as to my eligibility for employment  or engagement for services (including independent contractor or volunteer assignments, as applicable), promotion, retention or for other lawful employment purposes.  I understand that if the Company hires me or contracts for my services, my consent will apply, and the Company may, as allowed by law, obtain from HireRight (or from </w:t>
      </w:r>
      <w:r w:rsidRPr="00420076">
        <w:rPr>
          <w:sz w:val="20"/>
          <w:szCs w:val="20"/>
        </w:rPr>
        <w:lastRenderedPageBreak/>
        <w:t xml:space="preserve">a consumer reporting agency other than HireRight) additional background reports pertaining to me, without asking for my authorization again, throughout my employment or contract period.  </w:t>
      </w:r>
    </w:p>
    <w:p w14:paraId="1300E58D" w14:textId="77777777" w:rsidR="00366354" w:rsidRPr="00420076" w:rsidRDefault="00366354" w:rsidP="00366354">
      <w:pPr>
        <w:autoSpaceDE w:val="0"/>
        <w:autoSpaceDN w:val="0"/>
        <w:adjustRightInd w:val="0"/>
        <w:jc w:val="both"/>
        <w:rPr>
          <w:sz w:val="20"/>
          <w:szCs w:val="20"/>
        </w:rPr>
      </w:pPr>
    </w:p>
    <w:p w14:paraId="2473039A" w14:textId="77777777" w:rsidR="00366354" w:rsidRPr="00420076" w:rsidRDefault="00366354" w:rsidP="00366354">
      <w:pPr>
        <w:jc w:val="both"/>
        <w:rPr>
          <w:sz w:val="20"/>
          <w:szCs w:val="20"/>
        </w:rPr>
      </w:pPr>
      <w:r w:rsidRPr="00420076">
        <w:rPr>
          <w:sz w:val="20"/>
          <w:szCs w:val="20"/>
        </w:rPr>
        <w:t>I understand that if the Company obtains a credit report about me, then it will only do so where such information is substantially related to the duties and responsibilities of the position in which I am engaged or for which I am being evaluated.</w:t>
      </w:r>
    </w:p>
    <w:p w14:paraId="6B5DF951" w14:textId="77777777" w:rsidR="00366354" w:rsidRPr="00420076" w:rsidRDefault="00366354" w:rsidP="00366354">
      <w:pPr>
        <w:pStyle w:val="Address"/>
        <w:jc w:val="both"/>
        <w:rPr>
          <w:rFonts w:ascii="Times New Roman" w:hAnsi="Times New Roman"/>
          <w:sz w:val="20"/>
          <w:szCs w:val="20"/>
        </w:rPr>
      </w:pPr>
    </w:p>
    <w:p w14:paraId="0F32987B" w14:textId="77777777" w:rsidR="00366354" w:rsidRPr="00420076" w:rsidRDefault="00366354" w:rsidP="00366354">
      <w:pPr>
        <w:pStyle w:val="Address"/>
        <w:jc w:val="both"/>
        <w:rPr>
          <w:rFonts w:ascii="Times New Roman" w:hAnsi="Times New Roman"/>
          <w:sz w:val="20"/>
          <w:szCs w:val="20"/>
        </w:rPr>
      </w:pPr>
      <w:r w:rsidRPr="00420076">
        <w:rPr>
          <w:rFonts w:ascii="Times New Roman" w:hAnsi="Times New Roman"/>
          <w:sz w:val="20"/>
          <w:szCs w:val="20"/>
        </w:rPr>
        <w:t>I understand that information contained in my employment (or contractor or volunteer) application, or otherwise disclosed by me before or during my employment (or contract or volunteer assignment), if any, may be used for the purpose of obtaining and evaluating background reports on me.  I also understand that nothing herein shall be construed as an offer of employment or contract for services.</w:t>
      </w:r>
    </w:p>
    <w:p w14:paraId="23106A7F" w14:textId="77777777" w:rsidR="00366354" w:rsidRPr="00420076" w:rsidRDefault="00366354" w:rsidP="00366354">
      <w:pPr>
        <w:pStyle w:val="Address"/>
        <w:jc w:val="both"/>
        <w:rPr>
          <w:rFonts w:ascii="Times New Roman" w:hAnsi="Times New Roman"/>
          <w:sz w:val="20"/>
          <w:szCs w:val="20"/>
        </w:rPr>
      </w:pPr>
    </w:p>
    <w:p w14:paraId="47D24C60" w14:textId="77777777" w:rsidR="00366354" w:rsidRPr="00420076" w:rsidRDefault="00366354" w:rsidP="00366354">
      <w:pPr>
        <w:pStyle w:val="Address"/>
        <w:jc w:val="both"/>
        <w:rPr>
          <w:rFonts w:ascii="Times New Roman" w:hAnsi="Times New Roman"/>
          <w:sz w:val="20"/>
          <w:szCs w:val="20"/>
        </w:rPr>
      </w:pPr>
      <w:r w:rsidRPr="00420076">
        <w:rPr>
          <w:rFonts w:ascii="Times New Roman" w:hAnsi="Times New Roman"/>
          <w:sz w:val="20"/>
          <w:szCs w:val="20"/>
        </w:rPr>
        <w:t xml:space="preserve">I understand that the information included in the background reports may be obtained from private and public record sources, including without limitation and as appropriate: government agencies and courthouses; educational institutions; and employers.  Accordingly, I hereby authorize all of the following, to disclose information about me to the consumer reporting agency and its agents: law enforcement and all other federal, state and local government agencies and courts; educational institutions (public or private); testing agencies; information service bureaus; credit bureaus and other consumer reporting agencies; other public and private record/data repositories; motor vehicle records agencies; my employers; the military; and all other individuals and sources with any information about or concerning me. The information that can be disclosed to the consumer reporting agency and its agents includes, but is not limited to, information concerning my: employment and earnings history; education, credit, motor vehicle and accident history; drug/alcohol testing results and history; criminal history; litigation history; military service; professional licenses, credentials and certifications; social security number verification; address and alias history; and other information.  </w:t>
      </w:r>
    </w:p>
    <w:p w14:paraId="69C8C83A" w14:textId="77777777" w:rsidR="00366354" w:rsidRPr="00420076" w:rsidRDefault="00366354" w:rsidP="00366354">
      <w:pPr>
        <w:pStyle w:val="Address"/>
        <w:jc w:val="both"/>
        <w:rPr>
          <w:rFonts w:ascii="Times New Roman" w:hAnsi="Times New Roman"/>
          <w:sz w:val="20"/>
          <w:szCs w:val="20"/>
        </w:rPr>
      </w:pPr>
    </w:p>
    <w:p w14:paraId="56B6529A" w14:textId="77777777" w:rsidR="00366354" w:rsidRPr="00420076" w:rsidRDefault="00366354" w:rsidP="00366354">
      <w:pPr>
        <w:pStyle w:val="Address"/>
        <w:jc w:val="both"/>
        <w:rPr>
          <w:rFonts w:ascii="Times New Roman" w:hAnsi="Times New Roman"/>
          <w:sz w:val="20"/>
          <w:szCs w:val="20"/>
        </w:rPr>
      </w:pPr>
      <w:r w:rsidRPr="00420076">
        <w:rPr>
          <w:rFonts w:ascii="Times New Roman" w:hAnsi="Times New Roman"/>
          <w:sz w:val="20"/>
          <w:szCs w:val="20"/>
        </w:rPr>
        <w:t>By my signature below, I also promise that the personal information I provide with this form or otherwise in connection with my background investigation is true, accurate and complete, and I understand that dishonesty or material omission may disqualify me from consideration for employment.  I agree that a copy of this document in faxed, photocopied or electronic (including electronically signed) form will be valid like the signed original.  I further acknowledge that I have received additional state law notices that I have reviewed and read.</w:t>
      </w:r>
    </w:p>
    <w:p w14:paraId="2B8BCF9D" w14:textId="77777777" w:rsidR="00366354" w:rsidRPr="00420076" w:rsidRDefault="00366354" w:rsidP="00366354">
      <w:pPr>
        <w:pStyle w:val="Address"/>
        <w:jc w:val="both"/>
        <w:rPr>
          <w:rFonts w:ascii="Times New Roman" w:hAnsi="Times New Roman"/>
          <w:sz w:val="20"/>
          <w:szCs w:val="20"/>
        </w:rPr>
      </w:pPr>
    </w:p>
    <w:p w14:paraId="2DA88291" w14:textId="77777777" w:rsidR="00366354" w:rsidRPr="00420076" w:rsidRDefault="00366354" w:rsidP="00366354">
      <w:pPr>
        <w:pStyle w:val="Address"/>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proofErr w:type="gramStart"/>
      <w:r w:rsidRPr="00420076">
        <w:rPr>
          <w:rFonts w:ascii="Times New Roman" w:hAnsi="Times New Roman"/>
          <w:sz w:val="20"/>
          <w:szCs w:val="20"/>
        </w:rPr>
        <w:t xml:space="preserve">□  </w:t>
      </w:r>
      <w:r w:rsidRPr="00420076">
        <w:rPr>
          <w:rFonts w:ascii="Times New Roman" w:hAnsi="Times New Roman"/>
          <w:b/>
          <w:sz w:val="20"/>
          <w:szCs w:val="20"/>
        </w:rPr>
        <w:t>California</w:t>
      </w:r>
      <w:proofErr w:type="gramEnd"/>
      <w:r w:rsidRPr="00420076">
        <w:rPr>
          <w:rFonts w:ascii="Times New Roman" w:hAnsi="Times New Roman"/>
          <w:b/>
          <w:sz w:val="20"/>
          <w:szCs w:val="20"/>
        </w:rPr>
        <w:t xml:space="preserve">, Minnesota or Oklahoma consumers:  </w:t>
      </w:r>
      <w:r w:rsidRPr="00420076">
        <w:rPr>
          <w:rFonts w:ascii="Times New Roman" w:hAnsi="Times New Roman"/>
          <w:sz w:val="20"/>
          <w:szCs w:val="20"/>
        </w:rPr>
        <w:t xml:space="preserve">Please check this box if you would like to receive (whenever you have such right under the applicable state law) a free copy of your background report if one is obtained on you by the Company.  </w:t>
      </w:r>
    </w:p>
    <w:p w14:paraId="34A5C7EC" w14:textId="77777777" w:rsidR="00366354" w:rsidRPr="00420076" w:rsidRDefault="00366354" w:rsidP="00366354">
      <w:pPr>
        <w:autoSpaceDE w:val="0"/>
        <w:autoSpaceDN w:val="0"/>
        <w:adjustRightInd w:val="0"/>
        <w:jc w:val="center"/>
        <w:rPr>
          <w:b/>
          <w:bCs/>
          <w:sz w:val="20"/>
          <w:szCs w:val="20"/>
        </w:rPr>
      </w:pPr>
    </w:p>
    <w:p w14:paraId="56F37B01" w14:textId="77777777" w:rsidR="00366354" w:rsidRPr="00420076" w:rsidRDefault="00366354" w:rsidP="00366354">
      <w:pPr>
        <w:keepNext/>
        <w:autoSpaceDE w:val="0"/>
        <w:autoSpaceDN w:val="0"/>
        <w:adjustRightInd w:val="0"/>
        <w:jc w:val="center"/>
        <w:rPr>
          <w:b/>
          <w:bCs/>
          <w:sz w:val="20"/>
          <w:szCs w:val="20"/>
        </w:rPr>
      </w:pPr>
      <w:r w:rsidRPr="00420076">
        <w:rPr>
          <w:b/>
          <w:bCs/>
          <w:sz w:val="20"/>
          <w:szCs w:val="20"/>
        </w:rPr>
        <w:t>Additional State Law Notices</w:t>
      </w:r>
    </w:p>
    <w:p w14:paraId="55C2C023" w14:textId="77777777" w:rsidR="00366354" w:rsidRPr="00420076" w:rsidRDefault="00366354" w:rsidP="00366354">
      <w:pPr>
        <w:keepNext/>
        <w:autoSpaceDE w:val="0"/>
        <w:autoSpaceDN w:val="0"/>
        <w:adjustRightInd w:val="0"/>
        <w:rPr>
          <w:bCs/>
          <w:sz w:val="20"/>
          <w:szCs w:val="20"/>
        </w:rPr>
      </w:pPr>
      <w:r w:rsidRPr="00420076">
        <w:rPr>
          <w:sz w:val="20"/>
          <w:szCs w:val="20"/>
        </w:rPr>
        <w:t>P</w:t>
      </w:r>
      <w:r w:rsidRPr="00420076">
        <w:rPr>
          <w:bCs/>
          <w:sz w:val="20"/>
          <w:szCs w:val="20"/>
        </w:rPr>
        <w:t>lease also note the following:</w:t>
      </w:r>
    </w:p>
    <w:p w14:paraId="2B51D256" w14:textId="77777777" w:rsidR="00366354" w:rsidRPr="00420076" w:rsidRDefault="00366354" w:rsidP="00366354">
      <w:pPr>
        <w:autoSpaceDE w:val="0"/>
        <w:autoSpaceDN w:val="0"/>
        <w:adjustRightInd w:val="0"/>
        <w:rPr>
          <w:b/>
          <w:bCs/>
          <w:sz w:val="20"/>
          <w:szCs w:val="20"/>
        </w:rPr>
      </w:pPr>
    </w:p>
    <w:p w14:paraId="7CFEFBFD" w14:textId="77777777" w:rsidR="00366354" w:rsidRPr="000E5F8A" w:rsidRDefault="00366354" w:rsidP="00366354">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0E5F8A">
        <w:rPr>
          <w:b/>
          <w:sz w:val="20"/>
          <w:szCs w:val="20"/>
        </w:rPr>
        <w:t xml:space="preserve">CALIFORNIA: </w:t>
      </w:r>
      <w:r w:rsidRPr="000E5F8A">
        <w:rPr>
          <w:sz w:val="20"/>
          <w:szCs w:val="20"/>
        </w:rPr>
        <w:t xml:space="preserve">Pursuant to section 1786.22 of the California Civil Code, you may view the file maintained on you by the consumer reporting agency during normal business hours.  You may also obtain a copy of this file, upon submitting proper identification and paying the actual copying costs, by appearing at the consumer reporting agency’s offices in person, during normal business hours and on reasonable notice, or by certified mail.  You may also receive a summary of the file by telephone, upon submitting proper identification and written request.  The consumer reporting agency has trained personnel available to explain your file to you, including any coded information, and will provide a written explanation of any coded information contained in your file.  If you appear in person, you may be accompanied by one other person, provided that person furnishes proper identification.  “Proper identification” includes documents such as a valid driver’s license, social security account number, military identification card, and credit cards.  If you cannot identify yourself with such information, the consumer reporting agency may require additional information concerning your employment and personal or family history to verify your identity.  </w:t>
      </w:r>
    </w:p>
    <w:p w14:paraId="5D161571" w14:textId="77777777" w:rsidR="00366354" w:rsidRPr="000E5F8A" w:rsidRDefault="00366354" w:rsidP="00366354">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p>
    <w:p w14:paraId="334165B2" w14:textId="77777777" w:rsidR="00366354" w:rsidRPr="000E5F8A" w:rsidRDefault="00366354" w:rsidP="00366354">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0E5F8A">
        <w:rPr>
          <w:bCs/>
          <w:sz w:val="20"/>
          <w:szCs w:val="20"/>
        </w:rPr>
        <w:t xml:space="preserve">HireRight, LLC (“HireRight”) will prepare the background report for the Company.  </w:t>
      </w:r>
      <w:r w:rsidRPr="000E5F8A">
        <w:rPr>
          <w:sz w:val="20"/>
          <w:szCs w:val="20"/>
        </w:rPr>
        <w:t xml:space="preserve">HireRight is located and can be contacted at 3349 Michelson Drive, Suite 150, Irvine, CA 92612, (800) 400-2761. Information about HireRight’s privacy practices is available at </w:t>
      </w:r>
      <w:hyperlink r:id="rId11" w:history="1">
        <w:r w:rsidRPr="000E5F8A">
          <w:rPr>
            <w:rStyle w:val="Hyperlink"/>
            <w:sz w:val="20"/>
            <w:szCs w:val="20"/>
          </w:rPr>
          <w:t>www.hireright.com/Privacy-Policy.aspx</w:t>
        </w:r>
      </w:hyperlink>
      <w:r w:rsidRPr="000E5F8A">
        <w:rPr>
          <w:sz w:val="20"/>
          <w:szCs w:val="20"/>
        </w:rPr>
        <w:t xml:space="preserve">. </w:t>
      </w:r>
    </w:p>
    <w:p w14:paraId="6EE728BD" w14:textId="77777777" w:rsidR="00366354" w:rsidRPr="000E5F8A" w:rsidRDefault="00366354" w:rsidP="00366354">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p>
    <w:p w14:paraId="3512DB03" w14:textId="77777777" w:rsidR="00366354" w:rsidRPr="000E5F8A" w:rsidRDefault="00366354" w:rsidP="00366354">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0E5F8A">
        <w:rPr>
          <w:sz w:val="20"/>
          <w:szCs w:val="20"/>
        </w:rPr>
        <w:t>Additional California-specific information is set out below.</w:t>
      </w:r>
    </w:p>
    <w:p w14:paraId="2F68E1C6" w14:textId="77777777" w:rsidR="00366354" w:rsidRPr="000E5F8A" w:rsidRDefault="00366354" w:rsidP="00366354">
      <w:pPr>
        <w:pStyle w:val="BodySingle"/>
        <w:jc w:val="both"/>
        <w:rPr>
          <w:sz w:val="20"/>
          <w:szCs w:val="20"/>
        </w:rPr>
      </w:pPr>
    </w:p>
    <w:p w14:paraId="65AA410B" w14:textId="77777777" w:rsidR="00366354" w:rsidRPr="000E5F8A" w:rsidRDefault="00366354" w:rsidP="00366354">
      <w:pPr>
        <w:pStyle w:val="BodySingle"/>
        <w:pBdr>
          <w:top w:val="single" w:sz="4" w:space="1" w:color="auto"/>
          <w:left w:val="single" w:sz="4" w:space="4" w:color="auto"/>
          <w:bottom w:val="single" w:sz="4" w:space="1" w:color="auto"/>
          <w:right w:val="single" w:sz="4" w:space="4" w:color="auto"/>
        </w:pBdr>
        <w:jc w:val="both"/>
        <w:rPr>
          <w:sz w:val="20"/>
          <w:szCs w:val="20"/>
        </w:rPr>
      </w:pPr>
      <w:r w:rsidRPr="000E5F8A">
        <w:rPr>
          <w:b/>
          <w:sz w:val="20"/>
          <w:szCs w:val="20"/>
        </w:rPr>
        <w:t>MASSACHUSETTS:</w:t>
      </w:r>
      <w:r w:rsidRPr="000E5F8A">
        <w:rPr>
          <w:sz w:val="20"/>
          <w:szCs w:val="20"/>
        </w:rPr>
        <w:t xml:space="preserve">  Upon request to the Company, you have the right to know whether the Company requested an investigative consumer report about you and, upon written request to the Company, you have the right to receive a copy of any such report.  You also have the right to ask the consumer reporting agency (e.g., HireRight) for a copy of any such report.</w:t>
      </w:r>
    </w:p>
    <w:p w14:paraId="4F8E3436" w14:textId="77777777" w:rsidR="00366354" w:rsidRPr="000E5F8A" w:rsidRDefault="00366354" w:rsidP="00366354">
      <w:pPr>
        <w:pStyle w:val="BodySingle"/>
        <w:jc w:val="both"/>
        <w:rPr>
          <w:sz w:val="20"/>
          <w:szCs w:val="20"/>
        </w:rPr>
      </w:pPr>
    </w:p>
    <w:p w14:paraId="1D75E711" w14:textId="77777777" w:rsidR="00366354" w:rsidRPr="000E5F8A" w:rsidRDefault="00366354" w:rsidP="00366354">
      <w:pPr>
        <w:pStyle w:val="BodySingle"/>
        <w:pBdr>
          <w:top w:val="single" w:sz="4" w:space="1" w:color="auto"/>
          <w:left w:val="single" w:sz="4" w:space="4" w:color="auto"/>
          <w:bottom w:val="single" w:sz="4" w:space="1" w:color="auto"/>
          <w:right w:val="single" w:sz="4" w:space="4" w:color="auto"/>
        </w:pBdr>
        <w:jc w:val="both"/>
        <w:rPr>
          <w:sz w:val="20"/>
          <w:szCs w:val="20"/>
        </w:rPr>
      </w:pPr>
      <w:r w:rsidRPr="000E5F8A">
        <w:rPr>
          <w:rStyle w:val="StyleBodyText11ptCharCharChar"/>
          <w:b/>
          <w:sz w:val="20"/>
          <w:szCs w:val="20"/>
        </w:rPr>
        <w:t>MINNESOTA</w:t>
      </w:r>
      <w:r w:rsidRPr="000E5F8A">
        <w:rPr>
          <w:rStyle w:val="StyleBodyText11ptCharCharChar"/>
          <w:sz w:val="20"/>
          <w:szCs w:val="20"/>
        </w:rPr>
        <w:t>:  You have the right in most circumstances to submit a written request to the consumer reporting agency (e.g., HireRight) for a complete and accurate disclosure of the nature and scope of any consumer report the Company ordered about you.  The consumer reporting agency must provide you with this disclosure within 5 days after (</w:t>
      </w:r>
      <w:proofErr w:type="spellStart"/>
      <w:r w:rsidRPr="000E5F8A">
        <w:rPr>
          <w:rStyle w:val="StyleBodyText11ptCharCharChar"/>
          <w:sz w:val="20"/>
          <w:szCs w:val="20"/>
        </w:rPr>
        <w:t>i</w:t>
      </w:r>
      <w:proofErr w:type="spellEnd"/>
      <w:r w:rsidRPr="000E5F8A">
        <w:rPr>
          <w:rStyle w:val="StyleBodyText11ptCharCharChar"/>
          <w:sz w:val="20"/>
          <w:szCs w:val="20"/>
        </w:rPr>
        <w:t>) its receipt of your request or (ii) the date the report was requested by the Company, whichever date is later.</w:t>
      </w:r>
    </w:p>
    <w:p w14:paraId="4F2E3CC9" w14:textId="77777777" w:rsidR="00366354" w:rsidRPr="000E5F8A" w:rsidRDefault="00366354" w:rsidP="00366354">
      <w:pPr>
        <w:pStyle w:val="BodyText"/>
        <w:rPr>
          <w:sz w:val="20"/>
          <w:szCs w:val="20"/>
        </w:rPr>
      </w:pPr>
    </w:p>
    <w:p w14:paraId="3BDEBB0B" w14:textId="77777777" w:rsidR="00366354" w:rsidRPr="000E5F8A" w:rsidRDefault="00366354" w:rsidP="00366354">
      <w:pPr>
        <w:pStyle w:val="BodySingle"/>
        <w:pBdr>
          <w:top w:val="single" w:sz="4" w:space="1" w:color="auto"/>
          <w:left w:val="single" w:sz="4" w:space="4" w:color="auto"/>
          <w:bottom w:val="single" w:sz="4" w:space="1" w:color="auto"/>
          <w:right w:val="single" w:sz="4" w:space="4" w:color="auto"/>
        </w:pBdr>
        <w:jc w:val="both"/>
        <w:rPr>
          <w:sz w:val="20"/>
          <w:szCs w:val="20"/>
        </w:rPr>
      </w:pPr>
      <w:r w:rsidRPr="000E5F8A">
        <w:rPr>
          <w:b/>
          <w:sz w:val="20"/>
          <w:szCs w:val="20"/>
        </w:rPr>
        <w:t>NEW JERSEY:</w:t>
      </w:r>
      <w:r w:rsidRPr="000E5F8A">
        <w:rPr>
          <w:sz w:val="20"/>
          <w:szCs w:val="20"/>
        </w:rPr>
        <w:t xml:space="preserve">  You have the right to submit a request to the consumer reporting agency (e.g., HireRight) for a copy of any investigative consumer report the Company requested about you.  </w:t>
      </w:r>
    </w:p>
    <w:p w14:paraId="6ABA6E88" w14:textId="77777777" w:rsidR="00366354" w:rsidRPr="000E5F8A" w:rsidRDefault="00366354" w:rsidP="00366354">
      <w:pPr>
        <w:pStyle w:val="BodySingle"/>
        <w:jc w:val="both"/>
        <w:rPr>
          <w:b/>
          <w:sz w:val="20"/>
          <w:szCs w:val="20"/>
          <w:u w:val="single"/>
        </w:rPr>
      </w:pPr>
    </w:p>
    <w:p w14:paraId="0D2F59EF" w14:textId="77777777" w:rsidR="00366354" w:rsidRPr="000E5F8A" w:rsidRDefault="00366354" w:rsidP="00366354">
      <w:pPr>
        <w:pStyle w:val="BodySingle"/>
        <w:pBdr>
          <w:top w:val="single" w:sz="4" w:space="1" w:color="auto"/>
          <w:left w:val="single" w:sz="4" w:space="4" w:color="auto"/>
          <w:bottom w:val="single" w:sz="4" w:space="1" w:color="auto"/>
          <w:right w:val="single" w:sz="4" w:space="4" w:color="auto"/>
        </w:pBdr>
        <w:jc w:val="both"/>
        <w:rPr>
          <w:sz w:val="20"/>
          <w:szCs w:val="20"/>
        </w:rPr>
      </w:pPr>
      <w:r w:rsidRPr="000E5F8A">
        <w:rPr>
          <w:b/>
          <w:sz w:val="20"/>
          <w:szCs w:val="20"/>
        </w:rPr>
        <w:t>NEW YORK:</w:t>
      </w:r>
      <w:r w:rsidRPr="000E5F8A">
        <w:rPr>
          <w:sz w:val="20"/>
          <w:szCs w:val="20"/>
        </w:rPr>
        <w:t xml:space="preserve">  You have the right, upon written request to the Company, to be informed of whether or not the Company requested a consumer report or an investigative consumer report about you.  Shown above is the address and telephone number for </w:t>
      </w:r>
      <w:r w:rsidRPr="000E5F8A">
        <w:rPr>
          <w:rStyle w:val="StyleBodyText11ptCharCharChar"/>
          <w:sz w:val="20"/>
          <w:szCs w:val="20"/>
        </w:rPr>
        <w:t>HireRight, the consumer reporting agency used by the Company</w:t>
      </w:r>
      <w:r w:rsidRPr="000E5F8A">
        <w:rPr>
          <w:sz w:val="20"/>
          <w:szCs w:val="20"/>
        </w:rPr>
        <w:t xml:space="preserve">.  You may inspect and receive a copy of any such report by contacting that consumer reporting agency.  A copy of Article 23-A of the New York Correction Law is also provided below. </w:t>
      </w:r>
    </w:p>
    <w:p w14:paraId="6C99E955" w14:textId="77777777" w:rsidR="00366354" w:rsidRPr="000E5F8A" w:rsidRDefault="00366354" w:rsidP="00366354">
      <w:pPr>
        <w:pStyle w:val="BodyText"/>
        <w:rPr>
          <w:sz w:val="20"/>
          <w:szCs w:val="20"/>
        </w:rPr>
      </w:pPr>
    </w:p>
    <w:p w14:paraId="679954F7" w14:textId="77777777" w:rsidR="00366354" w:rsidRPr="000E5F8A" w:rsidRDefault="00366354" w:rsidP="00366354">
      <w:pPr>
        <w:pStyle w:val="BodySingle"/>
        <w:pBdr>
          <w:top w:val="single" w:sz="4" w:space="1" w:color="auto"/>
          <w:left w:val="single" w:sz="4" w:space="4" w:color="auto"/>
          <w:bottom w:val="single" w:sz="4" w:space="1" w:color="auto"/>
          <w:right w:val="single" w:sz="4" w:space="4" w:color="auto"/>
        </w:pBdr>
        <w:jc w:val="both"/>
        <w:rPr>
          <w:sz w:val="20"/>
          <w:szCs w:val="20"/>
        </w:rPr>
      </w:pPr>
      <w:r w:rsidRPr="000E5F8A">
        <w:rPr>
          <w:b/>
          <w:sz w:val="20"/>
          <w:szCs w:val="20"/>
        </w:rPr>
        <w:t>WASHINGTON STATE:</w:t>
      </w:r>
      <w:r w:rsidRPr="000E5F8A">
        <w:rPr>
          <w:sz w:val="20"/>
          <w:szCs w:val="20"/>
        </w:rPr>
        <w:t xml:space="preserve">  If the Company requests an investigative consumer report, you have the right, upon written request made to the Company within a reasonable period of time after your receipt of this disclosure, to receive from the Company a complete and accurate disclosure of the nature and scope of the investigation requested by the Company.  </w:t>
      </w:r>
      <w:r w:rsidRPr="000E5F8A">
        <w:rPr>
          <w:rStyle w:val="StyleBodyText11ptCharCharChar"/>
          <w:sz w:val="20"/>
          <w:szCs w:val="20"/>
        </w:rPr>
        <w:t xml:space="preserve">You are entitled to this disclosure within 5 days after the date your request is received or the Company ordered the report, whichever is later. </w:t>
      </w:r>
      <w:r w:rsidRPr="000E5F8A">
        <w:rPr>
          <w:sz w:val="20"/>
          <w:szCs w:val="20"/>
        </w:rPr>
        <w:t xml:space="preserve">You also have the right to request a written summary of your rights and remedies under the Washington Fair Credit Reporting Act.  </w:t>
      </w:r>
    </w:p>
    <w:p w14:paraId="005D87F0" w14:textId="77777777" w:rsidR="00366354" w:rsidRPr="00420076" w:rsidRDefault="00366354" w:rsidP="00366354">
      <w:pPr>
        <w:pStyle w:val="Header"/>
        <w:tabs>
          <w:tab w:val="left" w:pos="3600"/>
          <w:tab w:val="left" w:pos="6660"/>
        </w:tabs>
        <w:spacing w:before="240"/>
        <w:jc w:val="both"/>
        <w:rPr>
          <w:sz w:val="20"/>
          <w:szCs w:val="20"/>
          <w:highlight w:val="yellow"/>
        </w:rPr>
      </w:pPr>
      <w:r w:rsidRPr="00420076">
        <w:rPr>
          <w:sz w:val="20"/>
          <w:szCs w:val="20"/>
          <w:highlight w:val="yellow"/>
        </w:rPr>
        <w:t>Applicant Last Name _______________________ First _________________ Middle _____________</w:t>
      </w:r>
    </w:p>
    <w:p w14:paraId="1F34AD80" w14:textId="77777777" w:rsidR="00366354" w:rsidRPr="00420076" w:rsidRDefault="00366354" w:rsidP="00366354">
      <w:pPr>
        <w:tabs>
          <w:tab w:val="left" w:pos="3600"/>
          <w:tab w:val="left" w:pos="3960"/>
          <w:tab w:val="left" w:pos="5220"/>
        </w:tabs>
        <w:spacing w:before="120"/>
        <w:ind w:right="756"/>
        <w:jc w:val="both"/>
        <w:rPr>
          <w:sz w:val="20"/>
          <w:szCs w:val="20"/>
          <w:u w:val="single"/>
          <w:lang w:val="es-ES"/>
        </w:rPr>
      </w:pPr>
      <w:proofErr w:type="spellStart"/>
      <w:r w:rsidRPr="00420076">
        <w:rPr>
          <w:sz w:val="20"/>
          <w:szCs w:val="20"/>
          <w:highlight w:val="yellow"/>
          <w:lang w:val="es-ES"/>
        </w:rPr>
        <w:t>Applicant</w:t>
      </w:r>
      <w:proofErr w:type="spellEnd"/>
      <w:r w:rsidRPr="00420076">
        <w:rPr>
          <w:sz w:val="20"/>
          <w:szCs w:val="20"/>
          <w:highlight w:val="yellow"/>
          <w:lang w:val="es-ES"/>
        </w:rPr>
        <w:t xml:space="preserve"> </w:t>
      </w:r>
      <w:proofErr w:type="spellStart"/>
      <w:r w:rsidRPr="00420076">
        <w:rPr>
          <w:sz w:val="20"/>
          <w:szCs w:val="20"/>
          <w:highlight w:val="yellow"/>
          <w:lang w:val="es-ES"/>
        </w:rPr>
        <w:t>Signature</w:t>
      </w:r>
      <w:proofErr w:type="spellEnd"/>
      <w:r w:rsidRPr="00420076">
        <w:rPr>
          <w:sz w:val="20"/>
          <w:szCs w:val="20"/>
          <w:highlight w:val="yellow"/>
          <w:lang w:val="es-ES"/>
        </w:rPr>
        <w:t xml:space="preserve"> ________________________________</w:t>
      </w:r>
      <w:r w:rsidRPr="00420076">
        <w:rPr>
          <w:sz w:val="20"/>
          <w:szCs w:val="20"/>
          <w:highlight w:val="yellow"/>
          <w:lang w:val="es-ES"/>
        </w:rPr>
        <w:tab/>
        <w:t>Date</w:t>
      </w:r>
      <w:r w:rsidRPr="00420076">
        <w:rPr>
          <w:sz w:val="20"/>
          <w:szCs w:val="20"/>
          <w:u w:val="single"/>
          <w:lang w:val="es-ES"/>
        </w:rPr>
        <w:tab/>
      </w:r>
      <w:r w:rsidRPr="00420076">
        <w:rPr>
          <w:sz w:val="20"/>
          <w:szCs w:val="20"/>
          <w:u w:val="single"/>
          <w:lang w:val="es-ES"/>
        </w:rPr>
        <w:tab/>
      </w:r>
      <w:r w:rsidRPr="00420076">
        <w:rPr>
          <w:sz w:val="20"/>
          <w:szCs w:val="20"/>
          <w:u w:val="single"/>
          <w:lang w:val="es-ES"/>
        </w:rPr>
        <w:tab/>
      </w:r>
      <w:r w:rsidRPr="00420076">
        <w:rPr>
          <w:sz w:val="20"/>
          <w:szCs w:val="20"/>
          <w:u w:val="single"/>
          <w:lang w:val="es-ES"/>
        </w:rPr>
        <w:tab/>
      </w:r>
    </w:p>
    <w:p w14:paraId="42F0BA87" w14:textId="77777777" w:rsidR="00366354" w:rsidRPr="00420076" w:rsidRDefault="00366354" w:rsidP="00366354">
      <w:pPr>
        <w:tabs>
          <w:tab w:val="left" w:pos="1095"/>
        </w:tabs>
        <w:ind w:left="-288" w:right="-288"/>
        <w:jc w:val="center"/>
        <w:rPr>
          <w:b/>
          <w:sz w:val="20"/>
          <w:szCs w:val="20"/>
          <w:lang w:val="es-ES"/>
        </w:rPr>
      </w:pPr>
    </w:p>
    <w:p w14:paraId="2830A9A8" w14:textId="77777777" w:rsidR="00366354" w:rsidRPr="00CA4BE9" w:rsidRDefault="00366354" w:rsidP="00366354">
      <w:pPr>
        <w:spacing w:after="200" w:line="276" w:lineRule="auto"/>
        <w:rPr>
          <w:b/>
          <w:sz w:val="22"/>
          <w:szCs w:val="22"/>
          <w:lang w:val="es-ES"/>
        </w:rPr>
        <w:sectPr w:rsidR="00366354" w:rsidRPr="00CA4BE9" w:rsidSect="00C55DD1">
          <w:footerReference w:type="default" r:id="rId12"/>
          <w:headerReference w:type="first" r:id="rId13"/>
          <w:footerReference w:type="first" r:id="rId14"/>
          <w:pgSz w:w="12240" w:h="15840" w:code="1"/>
          <w:pgMar w:top="1080" w:right="1152" w:bottom="360" w:left="1152" w:header="720" w:footer="288" w:gutter="0"/>
          <w:pgNumType w:start="1"/>
          <w:cols w:space="720"/>
          <w:noEndnote/>
          <w:titlePg/>
        </w:sectPr>
      </w:pPr>
    </w:p>
    <w:p w14:paraId="6DE958FC" w14:textId="77777777" w:rsidR="00366354" w:rsidRPr="00420076" w:rsidRDefault="00366354" w:rsidP="00366354">
      <w:pPr>
        <w:widowControl w:val="0"/>
        <w:jc w:val="both"/>
        <w:rPr>
          <w:b/>
          <w:bCs/>
          <w:i/>
          <w:sz w:val="20"/>
          <w:szCs w:val="20"/>
          <w:lang w:val="es-ES"/>
        </w:rPr>
      </w:pPr>
      <w:r w:rsidRPr="00420076">
        <w:rPr>
          <w:b/>
          <w:i/>
          <w:sz w:val="20"/>
          <w:szCs w:val="20"/>
          <w:lang w:val="es-ES"/>
        </w:rPr>
        <w:lastRenderedPageBreak/>
        <w:t xml:space="preserve">Para información en español, visite </w:t>
      </w:r>
      <w:hyperlink r:id="rId15" w:history="1">
        <w:r w:rsidRPr="00420076">
          <w:rPr>
            <w:rStyle w:val="Hyperlink"/>
            <w:b/>
            <w:i/>
            <w:sz w:val="20"/>
            <w:szCs w:val="20"/>
            <w:lang w:val="es-ES"/>
          </w:rPr>
          <w:t>http://www.consumerfinance.gov/learnmore</w:t>
        </w:r>
      </w:hyperlink>
      <w:r w:rsidRPr="00420076">
        <w:rPr>
          <w:b/>
          <w:i/>
          <w:sz w:val="20"/>
          <w:szCs w:val="20"/>
          <w:lang w:val="es-ES"/>
        </w:rPr>
        <w:t xml:space="preserve"> o escribe a la </w:t>
      </w:r>
      <w:proofErr w:type="spellStart"/>
      <w:r w:rsidRPr="00420076">
        <w:rPr>
          <w:b/>
          <w:i/>
          <w:sz w:val="20"/>
          <w:szCs w:val="20"/>
          <w:lang w:val="es-ES"/>
        </w:rPr>
        <w:t>Consumer</w:t>
      </w:r>
      <w:proofErr w:type="spellEnd"/>
      <w:r w:rsidRPr="00420076">
        <w:rPr>
          <w:b/>
          <w:i/>
          <w:sz w:val="20"/>
          <w:szCs w:val="20"/>
          <w:lang w:val="es-ES"/>
        </w:rPr>
        <w:t xml:space="preserve"> </w:t>
      </w:r>
      <w:proofErr w:type="spellStart"/>
      <w:r w:rsidRPr="00420076">
        <w:rPr>
          <w:b/>
          <w:i/>
          <w:sz w:val="20"/>
          <w:szCs w:val="20"/>
          <w:lang w:val="es-ES"/>
        </w:rPr>
        <w:t>Financial</w:t>
      </w:r>
      <w:proofErr w:type="spellEnd"/>
      <w:r w:rsidRPr="00420076">
        <w:rPr>
          <w:b/>
          <w:i/>
          <w:sz w:val="20"/>
          <w:szCs w:val="20"/>
          <w:lang w:val="es-ES"/>
        </w:rPr>
        <w:t xml:space="preserve"> </w:t>
      </w:r>
      <w:proofErr w:type="spellStart"/>
      <w:r w:rsidRPr="00420076">
        <w:rPr>
          <w:b/>
          <w:i/>
          <w:sz w:val="20"/>
          <w:szCs w:val="20"/>
          <w:lang w:val="es-ES"/>
        </w:rPr>
        <w:t>Protection</w:t>
      </w:r>
      <w:proofErr w:type="spellEnd"/>
      <w:r w:rsidRPr="00420076">
        <w:rPr>
          <w:b/>
          <w:i/>
          <w:sz w:val="20"/>
          <w:szCs w:val="20"/>
          <w:lang w:val="es-ES"/>
        </w:rPr>
        <w:t xml:space="preserve"> Bureau, 1700 G Street N.W., Washington DC 20552.</w:t>
      </w:r>
    </w:p>
    <w:p w14:paraId="2C07BC46" w14:textId="77777777" w:rsidR="00366354" w:rsidRPr="00420076" w:rsidRDefault="00366354" w:rsidP="00366354">
      <w:pPr>
        <w:widowControl w:val="0"/>
        <w:jc w:val="center"/>
        <w:rPr>
          <w:b/>
          <w:bCs/>
          <w:smallCaps/>
          <w:sz w:val="20"/>
          <w:szCs w:val="20"/>
          <w:lang w:val="es-ES"/>
        </w:rPr>
      </w:pPr>
    </w:p>
    <w:p w14:paraId="3FCEA5AB" w14:textId="77777777" w:rsidR="00366354" w:rsidRPr="00420076" w:rsidRDefault="00366354" w:rsidP="00366354">
      <w:pPr>
        <w:jc w:val="center"/>
        <w:rPr>
          <w:b/>
          <w:sz w:val="20"/>
          <w:szCs w:val="20"/>
        </w:rPr>
      </w:pPr>
      <w:r w:rsidRPr="00420076">
        <w:rPr>
          <w:b/>
          <w:sz w:val="20"/>
          <w:szCs w:val="20"/>
        </w:rPr>
        <w:t>A Summary of Your Rights Under the Fair Credit Reporting Act</w:t>
      </w:r>
    </w:p>
    <w:p w14:paraId="75B65B99" w14:textId="77777777" w:rsidR="00366354" w:rsidRPr="00420076" w:rsidRDefault="00366354" w:rsidP="00366354">
      <w:pPr>
        <w:rPr>
          <w:b/>
          <w:sz w:val="20"/>
          <w:szCs w:val="20"/>
        </w:rPr>
      </w:pPr>
      <w:r w:rsidRPr="00420076">
        <w:rPr>
          <w:sz w:val="20"/>
          <w:szCs w:val="20"/>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420076">
        <w:rPr>
          <w:b/>
          <w:sz w:val="20"/>
          <w:szCs w:val="20"/>
        </w:rPr>
        <w:t xml:space="preserve">For more information, including information about additional rights, go to </w:t>
      </w:r>
      <w:hyperlink r:id="rId16" w:history="1">
        <w:r w:rsidRPr="00420076">
          <w:rPr>
            <w:rStyle w:val="Hyperlink"/>
            <w:sz w:val="20"/>
            <w:szCs w:val="20"/>
          </w:rPr>
          <w:t>www.consumerfinance.gov/learnmore</w:t>
        </w:r>
      </w:hyperlink>
      <w:r w:rsidRPr="00420076">
        <w:rPr>
          <w:sz w:val="20"/>
          <w:szCs w:val="20"/>
        </w:rPr>
        <w:t xml:space="preserve"> </w:t>
      </w:r>
      <w:r w:rsidRPr="00420076">
        <w:rPr>
          <w:b/>
          <w:sz w:val="20"/>
          <w:szCs w:val="20"/>
        </w:rPr>
        <w:t>or write to: Consumer Financial Protection Bureau, 1700 G Street N.W., Washington, DC 20552.</w:t>
      </w:r>
    </w:p>
    <w:p w14:paraId="6FE4EB8C" w14:textId="77777777" w:rsidR="00366354" w:rsidRPr="00420076" w:rsidRDefault="00366354" w:rsidP="00366354">
      <w:pPr>
        <w:rPr>
          <w:b/>
          <w:bCs/>
          <w:sz w:val="20"/>
          <w:szCs w:val="20"/>
        </w:rPr>
      </w:pPr>
    </w:p>
    <w:p w14:paraId="3C2D5A83"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You must be told if information in your file has been used against you.</w:t>
      </w:r>
      <w:r w:rsidRPr="00420076">
        <w:rPr>
          <w:sz w:val="20"/>
          <w:szCs w:val="20"/>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32F628C9" w14:textId="77777777" w:rsidR="00366354" w:rsidRPr="00420076" w:rsidRDefault="00366354" w:rsidP="00366354">
      <w:pPr>
        <w:pStyle w:val="ListParagraph"/>
        <w:rPr>
          <w:sz w:val="20"/>
          <w:szCs w:val="20"/>
        </w:rPr>
      </w:pPr>
    </w:p>
    <w:p w14:paraId="28876EA7"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You have the right to know what is in your file.</w:t>
      </w:r>
      <w:r w:rsidRPr="00420076">
        <w:rPr>
          <w:sz w:val="20"/>
          <w:szCs w:val="20"/>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6EACC904" w14:textId="77777777" w:rsidR="00366354" w:rsidRPr="00420076" w:rsidRDefault="00366354" w:rsidP="00366354">
      <w:pPr>
        <w:pStyle w:val="ListParagraph"/>
        <w:numPr>
          <w:ilvl w:val="0"/>
          <w:numId w:val="3"/>
        </w:numPr>
        <w:ind w:left="1080"/>
        <w:contextualSpacing/>
        <w:rPr>
          <w:sz w:val="20"/>
          <w:szCs w:val="20"/>
        </w:rPr>
      </w:pPr>
      <w:r w:rsidRPr="00420076">
        <w:rPr>
          <w:sz w:val="20"/>
          <w:szCs w:val="20"/>
        </w:rPr>
        <w:t>a person has taken adverse action against you because of information in your credit report;</w:t>
      </w:r>
    </w:p>
    <w:p w14:paraId="75A8A22D" w14:textId="77777777" w:rsidR="00366354" w:rsidRPr="00420076" w:rsidRDefault="00366354" w:rsidP="00366354">
      <w:pPr>
        <w:pStyle w:val="ListParagraph"/>
        <w:numPr>
          <w:ilvl w:val="0"/>
          <w:numId w:val="3"/>
        </w:numPr>
        <w:ind w:left="1080"/>
        <w:contextualSpacing/>
        <w:rPr>
          <w:sz w:val="20"/>
          <w:szCs w:val="20"/>
        </w:rPr>
      </w:pPr>
      <w:r w:rsidRPr="00420076">
        <w:rPr>
          <w:sz w:val="20"/>
          <w:szCs w:val="20"/>
        </w:rPr>
        <w:t>you are the victim of identity theft and place a fraud alert in your file;</w:t>
      </w:r>
    </w:p>
    <w:p w14:paraId="61627EC6" w14:textId="77777777" w:rsidR="00366354" w:rsidRPr="00420076" w:rsidRDefault="00366354" w:rsidP="00366354">
      <w:pPr>
        <w:pStyle w:val="ListParagraph"/>
        <w:numPr>
          <w:ilvl w:val="0"/>
          <w:numId w:val="3"/>
        </w:numPr>
        <w:ind w:left="1080"/>
        <w:contextualSpacing/>
        <w:rPr>
          <w:sz w:val="20"/>
          <w:szCs w:val="20"/>
        </w:rPr>
      </w:pPr>
      <w:r w:rsidRPr="00420076">
        <w:rPr>
          <w:sz w:val="20"/>
          <w:szCs w:val="20"/>
        </w:rPr>
        <w:t>your file contains inaccurate information as a result of fraud;</w:t>
      </w:r>
    </w:p>
    <w:p w14:paraId="1AA65776" w14:textId="77777777" w:rsidR="00366354" w:rsidRPr="00420076" w:rsidRDefault="00366354" w:rsidP="00366354">
      <w:pPr>
        <w:pStyle w:val="ListParagraph"/>
        <w:numPr>
          <w:ilvl w:val="0"/>
          <w:numId w:val="3"/>
        </w:numPr>
        <w:ind w:left="1080"/>
        <w:contextualSpacing/>
        <w:rPr>
          <w:sz w:val="20"/>
          <w:szCs w:val="20"/>
        </w:rPr>
      </w:pPr>
      <w:r w:rsidRPr="00420076">
        <w:rPr>
          <w:sz w:val="20"/>
          <w:szCs w:val="20"/>
        </w:rPr>
        <w:t>you are on public assistance;</w:t>
      </w:r>
    </w:p>
    <w:p w14:paraId="7A76020F" w14:textId="77777777" w:rsidR="00366354" w:rsidRPr="00420076" w:rsidRDefault="00366354" w:rsidP="00366354">
      <w:pPr>
        <w:pStyle w:val="ListParagraph"/>
        <w:numPr>
          <w:ilvl w:val="0"/>
          <w:numId w:val="3"/>
        </w:numPr>
        <w:ind w:left="1080"/>
        <w:contextualSpacing/>
        <w:rPr>
          <w:sz w:val="20"/>
          <w:szCs w:val="20"/>
        </w:rPr>
      </w:pPr>
      <w:r w:rsidRPr="00420076">
        <w:rPr>
          <w:sz w:val="20"/>
          <w:szCs w:val="20"/>
        </w:rPr>
        <w:t>you are unemployed but expect to apply for employment within 60 days.</w:t>
      </w:r>
    </w:p>
    <w:p w14:paraId="1C3A027F" w14:textId="77777777" w:rsidR="00366354" w:rsidRPr="00420076" w:rsidRDefault="00366354" w:rsidP="00366354">
      <w:pPr>
        <w:pStyle w:val="ListParagraph"/>
        <w:rPr>
          <w:sz w:val="20"/>
          <w:szCs w:val="20"/>
        </w:rPr>
      </w:pPr>
      <w:r w:rsidRPr="00420076">
        <w:rPr>
          <w:sz w:val="20"/>
          <w:szCs w:val="20"/>
        </w:rPr>
        <w:t xml:space="preserve"> </w:t>
      </w:r>
    </w:p>
    <w:p w14:paraId="787E7E27" w14:textId="77777777" w:rsidR="00366354" w:rsidRPr="00420076" w:rsidRDefault="00366354" w:rsidP="00366354">
      <w:pPr>
        <w:pStyle w:val="ListParagraph"/>
        <w:numPr>
          <w:ilvl w:val="0"/>
          <w:numId w:val="3"/>
        </w:numPr>
        <w:rPr>
          <w:sz w:val="20"/>
          <w:szCs w:val="20"/>
        </w:rPr>
      </w:pPr>
      <w:r w:rsidRPr="00420076">
        <w:rPr>
          <w:sz w:val="20"/>
          <w:szCs w:val="20"/>
        </w:rPr>
        <w:t>In addition, all consumers are entitled to one free disclosure every 12 months upon request from each nationwide credit bureau and from nationwide specialty consumer reporting agencies. See www.consumerfinance.gov/learnmore for additional information.</w:t>
      </w:r>
    </w:p>
    <w:p w14:paraId="27BA8AF7" w14:textId="77777777" w:rsidR="00366354" w:rsidRPr="00420076" w:rsidRDefault="00366354" w:rsidP="00366354">
      <w:pPr>
        <w:pStyle w:val="ListParagraph"/>
        <w:rPr>
          <w:sz w:val="20"/>
          <w:szCs w:val="20"/>
        </w:rPr>
      </w:pPr>
    </w:p>
    <w:p w14:paraId="3A71F5AE"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You have the right to ask for a credit score.</w:t>
      </w:r>
      <w:r w:rsidRPr="00420076">
        <w:rPr>
          <w:sz w:val="20"/>
          <w:szCs w:val="20"/>
        </w:rP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40EAE6C8" w14:textId="77777777" w:rsidR="00366354" w:rsidRPr="00420076" w:rsidRDefault="00366354" w:rsidP="00366354">
      <w:pPr>
        <w:pStyle w:val="ListParagraph"/>
        <w:rPr>
          <w:sz w:val="20"/>
          <w:szCs w:val="20"/>
        </w:rPr>
      </w:pPr>
    </w:p>
    <w:p w14:paraId="0EA466F1"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You have the right to dispute incomplete or inaccurate information.</w:t>
      </w:r>
      <w:r w:rsidRPr="00420076">
        <w:rPr>
          <w:sz w:val="20"/>
          <w:szCs w:val="20"/>
        </w:rPr>
        <w:t xml:space="preserve"> If you identify information in your file that is incomplete or inaccurate, and report it to the consumer reporting agency, the agency must investigate unless your dispute is frivolous. See www.consumerfinance.gov/learnmore for an explanation of dispute procedures.</w:t>
      </w:r>
    </w:p>
    <w:p w14:paraId="540DEEB0" w14:textId="77777777" w:rsidR="00366354" w:rsidRPr="00420076" w:rsidRDefault="00366354" w:rsidP="00366354">
      <w:pPr>
        <w:pStyle w:val="ListParagraph"/>
        <w:rPr>
          <w:sz w:val="20"/>
          <w:szCs w:val="20"/>
        </w:rPr>
      </w:pPr>
    </w:p>
    <w:p w14:paraId="358AA630" w14:textId="77777777" w:rsidR="00366354" w:rsidRPr="00420076" w:rsidRDefault="00366354" w:rsidP="00366354">
      <w:pPr>
        <w:pStyle w:val="ListParagraph"/>
        <w:keepNext/>
        <w:keepLines/>
        <w:numPr>
          <w:ilvl w:val="0"/>
          <w:numId w:val="3"/>
        </w:numPr>
        <w:contextualSpacing/>
        <w:rPr>
          <w:sz w:val="20"/>
          <w:szCs w:val="20"/>
        </w:rPr>
      </w:pPr>
      <w:r w:rsidRPr="00420076">
        <w:rPr>
          <w:b/>
          <w:bCs/>
          <w:sz w:val="20"/>
          <w:szCs w:val="20"/>
        </w:rPr>
        <w:t>Consumer reporting agencies must correct or delete inaccurate, incomplete, or unverifiable information.</w:t>
      </w:r>
      <w:r w:rsidRPr="00420076">
        <w:rPr>
          <w:sz w:val="20"/>
          <w:szCs w:val="20"/>
        </w:rPr>
        <w:t xml:space="preserve"> Inaccurate, incomplete or unverifiable information must be removed or corrected, usually within 30 days. However, a consumer reporting agency may continue to report information it has verified as accurate.</w:t>
      </w:r>
    </w:p>
    <w:p w14:paraId="23164785" w14:textId="77777777" w:rsidR="00366354" w:rsidRPr="00420076" w:rsidRDefault="00366354" w:rsidP="00366354">
      <w:pPr>
        <w:pStyle w:val="ListParagraph"/>
        <w:rPr>
          <w:sz w:val="20"/>
          <w:szCs w:val="20"/>
        </w:rPr>
      </w:pPr>
    </w:p>
    <w:p w14:paraId="28C2891E"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Consumer reporting agencies may not report outdated negative information.</w:t>
      </w:r>
      <w:r w:rsidRPr="00420076">
        <w:rPr>
          <w:sz w:val="20"/>
          <w:szCs w:val="20"/>
        </w:rPr>
        <w:t xml:space="preserve"> In most cases, a consumer reporting agency may not report negative information that is more than seven years old, or bankruptcies that are more than 10 years old.</w:t>
      </w:r>
    </w:p>
    <w:p w14:paraId="4A130888" w14:textId="77777777" w:rsidR="00366354" w:rsidRPr="00420076" w:rsidRDefault="00366354" w:rsidP="00366354">
      <w:pPr>
        <w:pStyle w:val="ListParagraph"/>
        <w:rPr>
          <w:sz w:val="20"/>
          <w:szCs w:val="20"/>
        </w:rPr>
      </w:pPr>
    </w:p>
    <w:p w14:paraId="573B31EE"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Access to your file is limited.</w:t>
      </w:r>
      <w:r w:rsidRPr="00420076">
        <w:rPr>
          <w:sz w:val="20"/>
          <w:szCs w:val="20"/>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14F76037" w14:textId="77777777" w:rsidR="00366354" w:rsidRPr="00420076" w:rsidRDefault="00366354" w:rsidP="00366354">
      <w:pPr>
        <w:pStyle w:val="ListParagraph"/>
        <w:rPr>
          <w:sz w:val="20"/>
          <w:szCs w:val="20"/>
        </w:rPr>
      </w:pPr>
    </w:p>
    <w:p w14:paraId="7132CEE8"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You must give your consent for reports to be provided to employers.</w:t>
      </w:r>
      <w:r w:rsidRPr="00420076">
        <w:rPr>
          <w:sz w:val="20"/>
          <w:szCs w:val="20"/>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www.consumerfinance.gov/learnmore.</w:t>
      </w:r>
    </w:p>
    <w:p w14:paraId="45388B93" w14:textId="77777777" w:rsidR="00366354" w:rsidRPr="00420076" w:rsidRDefault="00366354" w:rsidP="00366354">
      <w:pPr>
        <w:pStyle w:val="ListParagraph"/>
        <w:rPr>
          <w:sz w:val="20"/>
          <w:szCs w:val="20"/>
        </w:rPr>
      </w:pPr>
    </w:p>
    <w:p w14:paraId="254F5275"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You may limit "prescreened" offers of credit and insurance you get based on information in your credit report.</w:t>
      </w:r>
      <w:r w:rsidRPr="00420076">
        <w:rPr>
          <w:sz w:val="20"/>
          <w:szCs w:val="20"/>
        </w:rPr>
        <w:t xml:space="preserve"> Unsolicited "prescreened" offers for credit and insurance must include a toll-free phone number you can </w:t>
      </w:r>
      <w:r w:rsidRPr="00420076">
        <w:rPr>
          <w:sz w:val="20"/>
          <w:szCs w:val="20"/>
        </w:rPr>
        <w:lastRenderedPageBreak/>
        <w:t>call if you choose to remove your name and address from the lists these offers are based on. You may opt-out with the nationwide credit bureaus at 1-888-567-8688.</w:t>
      </w:r>
    </w:p>
    <w:p w14:paraId="6F1B13FD" w14:textId="77777777" w:rsidR="00366354" w:rsidRPr="00420076" w:rsidRDefault="00366354" w:rsidP="00366354">
      <w:pPr>
        <w:pStyle w:val="ListParagraph"/>
        <w:rPr>
          <w:sz w:val="20"/>
          <w:szCs w:val="20"/>
        </w:rPr>
      </w:pPr>
    </w:p>
    <w:p w14:paraId="7CDAC7AB"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You may seek damages from violators.</w:t>
      </w:r>
      <w:r w:rsidRPr="00420076">
        <w:rPr>
          <w:sz w:val="20"/>
          <w:szCs w:val="20"/>
        </w:rPr>
        <w:t xml:space="preserve"> If a consumer reporting agency, or, in some cases, a user of consumer reports or a furnisher of information to a consumer reporting agency violates the FCRA, you may be able to sue in state or federal court.</w:t>
      </w:r>
    </w:p>
    <w:p w14:paraId="702AE793" w14:textId="77777777" w:rsidR="00366354" w:rsidRPr="00420076" w:rsidRDefault="00366354" w:rsidP="00366354">
      <w:pPr>
        <w:pStyle w:val="ListParagraph"/>
        <w:rPr>
          <w:sz w:val="20"/>
          <w:szCs w:val="20"/>
        </w:rPr>
      </w:pPr>
    </w:p>
    <w:p w14:paraId="3902E75E" w14:textId="77777777" w:rsidR="00366354" w:rsidRPr="00420076" w:rsidRDefault="00366354" w:rsidP="00366354">
      <w:pPr>
        <w:pStyle w:val="ListParagraph"/>
        <w:numPr>
          <w:ilvl w:val="0"/>
          <w:numId w:val="3"/>
        </w:numPr>
        <w:contextualSpacing/>
        <w:rPr>
          <w:sz w:val="20"/>
          <w:szCs w:val="20"/>
        </w:rPr>
      </w:pPr>
      <w:r w:rsidRPr="00420076">
        <w:rPr>
          <w:b/>
          <w:bCs/>
          <w:sz w:val="20"/>
          <w:szCs w:val="20"/>
        </w:rPr>
        <w:t>Identity theft victims and active duty military personnel have additional rights.</w:t>
      </w:r>
      <w:r w:rsidRPr="00420076">
        <w:rPr>
          <w:sz w:val="20"/>
          <w:szCs w:val="20"/>
        </w:rPr>
        <w:t xml:space="preserve"> For more information, visit www.consumerfinance.gov/learnmore.</w:t>
      </w:r>
    </w:p>
    <w:p w14:paraId="3F72C974" w14:textId="77777777" w:rsidR="00366354" w:rsidRPr="00420076" w:rsidRDefault="00366354" w:rsidP="00366354">
      <w:pPr>
        <w:pStyle w:val="ListParagraph"/>
        <w:rPr>
          <w:sz w:val="20"/>
          <w:szCs w:val="20"/>
        </w:rPr>
      </w:pPr>
    </w:p>
    <w:p w14:paraId="31A74BD8" w14:textId="77777777" w:rsidR="00366354" w:rsidRPr="00420076" w:rsidRDefault="00366354" w:rsidP="00366354">
      <w:pPr>
        <w:rPr>
          <w:b/>
          <w:bCs/>
          <w:sz w:val="20"/>
          <w:szCs w:val="20"/>
        </w:rPr>
      </w:pPr>
      <w:r w:rsidRPr="00420076">
        <w:rPr>
          <w:b/>
          <w:bCs/>
          <w:sz w:val="20"/>
          <w:szCs w:val="20"/>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7A157C1A" w14:textId="77777777" w:rsidR="00366354" w:rsidRDefault="00366354" w:rsidP="00366354">
      <w:r>
        <w:rPr>
          <w:vanish/>
        </w:rPr>
        <w:t xml:space="preserve"> </w:t>
      </w:r>
    </w:p>
    <w:tbl>
      <w:tblPr>
        <w:tblStyle w:val="TableGrid"/>
        <w:tblW w:w="10548" w:type="dxa"/>
        <w:tblLook w:val="04A0" w:firstRow="1" w:lastRow="0" w:firstColumn="1" w:lastColumn="0" w:noHBand="0" w:noVBand="1"/>
      </w:tblPr>
      <w:tblGrid>
        <w:gridCol w:w="5164"/>
        <w:gridCol w:w="5384"/>
      </w:tblGrid>
      <w:tr w:rsidR="00366354" w14:paraId="5B0514DC" w14:textId="77777777" w:rsidTr="00420076">
        <w:trPr>
          <w:trHeight w:val="199"/>
        </w:trPr>
        <w:tc>
          <w:tcPr>
            <w:tcW w:w="5164" w:type="dxa"/>
          </w:tcPr>
          <w:p w14:paraId="2546DB19" w14:textId="77777777" w:rsidR="00366354" w:rsidRPr="00420076" w:rsidRDefault="00366354" w:rsidP="00365315">
            <w:pPr>
              <w:rPr>
                <w:b/>
                <w:bCs/>
                <w:sz w:val="16"/>
                <w:szCs w:val="16"/>
              </w:rPr>
            </w:pPr>
            <w:r w:rsidRPr="00420076">
              <w:rPr>
                <w:b/>
                <w:bCs/>
                <w:sz w:val="16"/>
                <w:szCs w:val="16"/>
              </w:rPr>
              <w:t>TYPE OF BUSINESS:</w:t>
            </w:r>
          </w:p>
        </w:tc>
        <w:tc>
          <w:tcPr>
            <w:tcW w:w="5384" w:type="dxa"/>
          </w:tcPr>
          <w:p w14:paraId="2A50060E" w14:textId="77777777" w:rsidR="00366354" w:rsidRPr="00420076" w:rsidRDefault="00366354" w:rsidP="00365315">
            <w:pPr>
              <w:rPr>
                <w:b/>
                <w:bCs/>
                <w:sz w:val="16"/>
                <w:szCs w:val="16"/>
              </w:rPr>
            </w:pPr>
            <w:r w:rsidRPr="00420076">
              <w:rPr>
                <w:b/>
                <w:bCs/>
                <w:sz w:val="16"/>
                <w:szCs w:val="16"/>
              </w:rPr>
              <w:t>CONTACT:</w:t>
            </w:r>
          </w:p>
        </w:tc>
      </w:tr>
      <w:tr w:rsidR="00366354" w14:paraId="476A3870" w14:textId="77777777" w:rsidTr="00420076">
        <w:trPr>
          <w:trHeight w:val="1614"/>
        </w:trPr>
        <w:tc>
          <w:tcPr>
            <w:tcW w:w="5164" w:type="dxa"/>
          </w:tcPr>
          <w:p w14:paraId="6CFE2A97" w14:textId="77777777" w:rsidR="00366354" w:rsidRPr="00420076" w:rsidRDefault="00366354" w:rsidP="00366354">
            <w:pPr>
              <w:pStyle w:val="ListParagraph"/>
              <w:numPr>
                <w:ilvl w:val="0"/>
                <w:numId w:val="2"/>
              </w:numPr>
              <w:ind w:left="270" w:hanging="270"/>
              <w:contextualSpacing/>
              <w:rPr>
                <w:sz w:val="16"/>
                <w:szCs w:val="16"/>
              </w:rPr>
            </w:pPr>
            <w:r w:rsidRPr="00420076">
              <w:rPr>
                <w:sz w:val="16"/>
                <w:szCs w:val="16"/>
              </w:rPr>
              <w:t>a. Banks, savings associations, and credit unions with total assets of over $10 billion and their affiliates.</w:t>
            </w:r>
          </w:p>
          <w:p w14:paraId="6DB4C78E" w14:textId="77777777" w:rsidR="00366354" w:rsidRPr="00420076" w:rsidRDefault="00366354" w:rsidP="00365315">
            <w:pPr>
              <w:rPr>
                <w:sz w:val="16"/>
                <w:szCs w:val="16"/>
              </w:rPr>
            </w:pPr>
          </w:p>
          <w:p w14:paraId="4B589795" w14:textId="77777777" w:rsidR="00366354" w:rsidRPr="00420076" w:rsidRDefault="00366354" w:rsidP="00365315">
            <w:pPr>
              <w:rPr>
                <w:sz w:val="16"/>
                <w:szCs w:val="16"/>
              </w:rPr>
            </w:pPr>
          </w:p>
          <w:p w14:paraId="20BC18DB" w14:textId="77777777" w:rsidR="00366354" w:rsidRPr="00420076" w:rsidRDefault="00366354" w:rsidP="00365315">
            <w:pPr>
              <w:rPr>
                <w:b/>
                <w:bCs/>
                <w:sz w:val="16"/>
                <w:szCs w:val="16"/>
              </w:rPr>
            </w:pPr>
            <w:r w:rsidRPr="00420076">
              <w:rPr>
                <w:sz w:val="16"/>
                <w:szCs w:val="16"/>
              </w:rPr>
              <w:t>b.  Such affiliates that are not banks, savings associations, or credit unions also should list, in addition to the CFPB:</w:t>
            </w:r>
          </w:p>
        </w:tc>
        <w:tc>
          <w:tcPr>
            <w:tcW w:w="5384" w:type="dxa"/>
          </w:tcPr>
          <w:p w14:paraId="6B124859" w14:textId="77777777" w:rsidR="00366354" w:rsidRPr="00420076" w:rsidRDefault="00366354" w:rsidP="00365315">
            <w:pPr>
              <w:rPr>
                <w:sz w:val="16"/>
                <w:szCs w:val="16"/>
              </w:rPr>
            </w:pPr>
            <w:r w:rsidRPr="00420076">
              <w:rPr>
                <w:sz w:val="16"/>
                <w:szCs w:val="16"/>
              </w:rPr>
              <w:t>a. Consumer Financial Protection Bureau</w:t>
            </w:r>
          </w:p>
          <w:p w14:paraId="376E606A" w14:textId="77777777" w:rsidR="00366354" w:rsidRPr="00420076" w:rsidRDefault="00366354" w:rsidP="00365315">
            <w:pPr>
              <w:rPr>
                <w:sz w:val="16"/>
                <w:szCs w:val="16"/>
              </w:rPr>
            </w:pPr>
            <w:r w:rsidRPr="00420076">
              <w:rPr>
                <w:sz w:val="16"/>
                <w:szCs w:val="16"/>
              </w:rPr>
              <w:t>1700 G Street NW</w:t>
            </w:r>
          </w:p>
          <w:p w14:paraId="20759382" w14:textId="77777777" w:rsidR="00366354" w:rsidRPr="00420076" w:rsidRDefault="00366354" w:rsidP="00365315">
            <w:pPr>
              <w:rPr>
                <w:sz w:val="16"/>
                <w:szCs w:val="16"/>
              </w:rPr>
            </w:pPr>
            <w:r w:rsidRPr="00420076">
              <w:rPr>
                <w:sz w:val="16"/>
                <w:szCs w:val="16"/>
              </w:rPr>
              <w:t>Washington, DC 20552</w:t>
            </w:r>
          </w:p>
          <w:p w14:paraId="59A8A343" w14:textId="77777777" w:rsidR="00366354" w:rsidRPr="00420076" w:rsidRDefault="00366354" w:rsidP="00365315">
            <w:pPr>
              <w:rPr>
                <w:sz w:val="16"/>
                <w:szCs w:val="16"/>
              </w:rPr>
            </w:pPr>
          </w:p>
          <w:p w14:paraId="358C34A8" w14:textId="77777777" w:rsidR="00366354" w:rsidRPr="00420076" w:rsidRDefault="00366354" w:rsidP="00365315">
            <w:pPr>
              <w:rPr>
                <w:sz w:val="16"/>
                <w:szCs w:val="16"/>
              </w:rPr>
            </w:pPr>
            <w:r w:rsidRPr="00420076">
              <w:rPr>
                <w:sz w:val="16"/>
                <w:szCs w:val="16"/>
              </w:rPr>
              <w:t xml:space="preserve">b. Federal Trade Commission: </w:t>
            </w:r>
          </w:p>
          <w:p w14:paraId="5ECCD969" w14:textId="77777777" w:rsidR="00366354" w:rsidRPr="00420076" w:rsidRDefault="00366354" w:rsidP="00365315">
            <w:pPr>
              <w:rPr>
                <w:sz w:val="16"/>
                <w:szCs w:val="16"/>
              </w:rPr>
            </w:pPr>
            <w:r w:rsidRPr="00420076">
              <w:rPr>
                <w:sz w:val="16"/>
                <w:szCs w:val="16"/>
              </w:rPr>
              <w:t>Consumer Response Center – FCRA</w:t>
            </w:r>
          </w:p>
          <w:p w14:paraId="73BD7CD0" w14:textId="77777777" w:rsidR="00366354" w:rsidRPr="00420076" w:rsidRDefault="00366354" w:rsidP="00365315">
            <w:pPr>
              <w:rPr>
                <w:b/>
                <w:bCs/>
                <w:sz w:val="16"/>
                <w:szCs w:val="16"/>
              </w:rPr>
            </w:pPr>
            <w:r w:rsidRPr="00420076">
              <w:rPr>
                <w:sz w:val="16"/>
                <w:szCs w:val="16"/>
              </w:rPr>
              <w:t>Washington, DC 20580</w:t>
            </w:r>
            <w:r w:rsidRPr="00420076">
              <w:rPr>
                <w:sz w:val="16"/>
                <w:szCs w:val="16"/>
              </w:rPr>
              <w:br/>
              <w:t>(877) 382-4357</w:t>
            </w:r>
          </w:p>
        </w:tc>
      </w:tr>
      <w:tr w:rsidR="00366354" w14:paraId="15ECD583" w14:textId="77777777" w:rsidTr="00420076">
        <w:trPr>
          <w:trHeight w:val="3905"/>
        </w:trPr>
        <w:tc>
          <w:tcPr>
            <w:tcW w:w="5164" w:type="dxa"/>
          </w:tcPr>
          <w:p w14:paraId="51040AB6" w14:textId="77777777" w:rsidR="00366354" w:rsidRPr="00420076" w:rsidRDefault="00366354" w:rsidP="00365315">
            <w:pPr>
              <w:rPr>
                <w:sz w:val="16"/>
                <w:szCs w:val="16"/>
              </w:rPr>
            </w:pPr>
            <w:r w:rsidRPr="00420076">
              <w:rPr>
                <w:sz w:val="16"/>
                <w:szCs w:val="16"/>
              </w:rPr>
              <w:t>2. To the extent not included in item 1 above:</w:t>
            </w:r>
          </w:p>
          <w:p w14:paraId="231BC2C8" w14:textId="77777777" w:rsidR="00366354" w:rsidRPr="00420076" w:rsidRDefault="00366354" w:rsidP="00365315">
            <w:pPr>
              <w:rPr>
                <w:sz w:val="16"/>
                <w:szCs w:val="16"/>
              </w:rPr>
            </w:pPr>
          </w:p>
          <w:p w14:paraId="7B0C4440" w14:textId="77777777" w:rsidR="00366354" w:rsidRPr="00420076" w:rsidRDefault="00366354" w:rsidP="00366354">
            <w:pPr>
              <w:pStyle w:val="ListParagraph"/>
              <w:numPr>
                <w:ilvl w:val="0"/>
                <w:numId w:val="1"/>
              </w:numPr>
              <w:ind w:left="270" w:hanging="270"/>
              <w:contextualSpacing/>
              <w:rPr>
                <w:sz w:val="16"/>
                <w:szCs w:val="16"/>
              </w:rPr>
            </w:pPr>
            <w:r w:rsidRPr="00420076">
              <w:rPr>
                <w:sz w:val="16"/>
                <w:szCs w:val="16"/>
              </w:rPr>
              <w:t>National banks, federal savings associations and federal branches and federal agencies of foreign banks</w:t>
            </w:r>
          </w:p>
          <w:p w14:paraId="20A34409" w14:textId="77777777" w:rsidR="00366354" w:rsidRPr="00420076" w:rsidRDefault="00366354" w:rsidP="00365315">
            <w:pPr>
              <w:pStyle w:val="ListParagraph"/>
              <w:ind w:left="270"/>
              <w:rPr>
                <w:sz w:val="16"/>
                <w:szCs w:val="16"/>
              </w:rPr>
            </w:pPr>
          </w:p>
          <w:p w14:paraId="3275DF9E" w14:textId="77777777" w:rsidR="00366354" w:rsidRPr="00420076" w:rsidRDefault="00366354" w:rsidP="00365315">
            <w:pPr>
              <w:pStyle w:val="ListParagraph"/>
              <w:ind w:left="270"/>
              <w:rPr>
                <w:sz w:val="16"/>
                <w:szCs w:val="16"/>
              </w:rPr>
            </w:pPr>
          </w:p>
          <w:p w14:paraId="6F107BC6" w14:textId="77777777" w:rsidR="00366354" w:rsidRPr="00420076" w:rsidRDefault="00366354" w:rsidP="00365315">
            <w:pPr>
              <w:pStyle w:val="ListParagraph"/>
              <w:ind w:left="270"/>
              <w:rPr>
                <w:sz w:val="16"/>
                <w:szCs w:val="16"/>
              </w:rPr>
            </w:pPr>
          </w:p>
          <w:p w14:paraId="666950CA" w14:textId="77777777" w:rsidR="00366354" w:rsidRPr="00420076" w:rsidRDefault="00366354" w:rsidP="00366354">
            <w:pPr>
              <w:pStyle w:val="ListParagraph"/>
              <w:numPr>
                <w:ilvl w:val="0"/>
                <w:numId w:val="1"/>
              </w:numPr>
              <w:ind w:left="270" w:hanging="270"/>
              <w:contextualSpacing/>
              <w:rPr>
                <w:sz w:val="16"/>
                <w:szCs w:val="16"/>
              </w:rPr>
            </w:pPr>
            <w:r w:rsidRPr="00420076">
              <w:rPr>
                <w:sz w:val="16"/>
                <w:szCs w:val="16"/>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714D4AF1" w14:textId="77777777" w:rsidR="00366354" w:rsidRPr="00420076" w:rsidRDefault="00366354" w:rsidP="00365315">
            <w:pPr>
              <w:pStyle w:val="ListParagraph"/>
              <w:ind w:left="270"/>
              <w:rPr>
                <w:sz w:val="16"/>
                <w:szCs w:val="16"/>
              </w:rPr>
            </w:pPr>
          </w:p>
          <w:p w14:paraId="3D40FF87" w14:textId="77777777" w:rsidR="00366354" w:rsidRPr="00420076" w:rsidRDefault="00366354" w:rsidP="00366354">
            <w:pPr>
              <w:pStyle w:val="ListParagraph"/>
              <w:numPr>
                <w:ilvl w:val="0"/>
                <w:numId w:val="1"/>
              </w:numPr>
              <w:ind w:left="270" w:hanging="270"/>
              <w:contextualSpacing/>
              <w:rPr>
                <w:sz w:val="16"/>
                <w:szCs w:val="16"/>
              </w:rPr>
            </w:pPr>
            <w:r w:rsidRPr="00420076">
              <w:rPr>
                <w:sz w:val="16"/>
                <w:szCs w:val="16"/>
              </w:rPr>
              <w:t>Nonmember Insured Banks, Insured State Branches of Foreign Banks, and insured state savings associations</w:t>
            </w:r>
          </w:p>
          <w:p w14:paraId="0197C12D" w14:textId="77777777" w:rsidR="00366354" w:rsidRPr="00420076" w:rsidRDefault="00366354" w:rsidP="00365315">
            <w:pPr>
              <w:pStyle w:val="ListParagraph"/>
              <w:rPr>
                <w:sz w:val="16"/>
                <w:szCs w:val="16"/>
              </w:rPr>
            </w:pPr>
          </w:p>
          <w:p w14:paraId="35DA9ABD" w14:textId="77777777" w:rsidR="00366354" w:rsidRPr="00420076" w:rsidRDefault="00366354" w:rsidP="00365315">
            <w:pPr>
              <w:pStyle w:val="ListParagraph"/>
              <w:ind w:left="270"/>
              <w:rPr>
                <w:sz w:val="16"/>
                <w:szCs w:val="16"/>
              </w:rPr>
            </w:pPr>
          </w:p>
          <w:p w14:paraId="1E6F11C4" w14:textId="77777777" w:rsidR="00366354" w:rsidRPr="00420076" w:rsidRDefault="00366354" w:rsidP="00366354">
            <w:pPr>
              <w:pStyle w:val="ListParagraph"/>
              <w:numPr>
                <w:ilvl w:val="0"/>
                <w:numId w:val="1"/>
              </w:numPr>
              <w:ind w:left="270" w:hanging="270"/>
              <w:contextualSpacing/>
              <w:rPr>
                <w:sz w:val="16"/>
                <w:szCs w:val="16"/>
              </w:rPr>
            </w:pPr>
            <w:r w:rsidRPr="00420076">
              <w:rPr>
                <w:sz w:val="16"/>
                <w:szCs w:val="16"/>
              </w:rPr>
              <w:t>Federal Credit Unions</w:t>
            </w:r>
          </w:p>
        </w:tc>
        <w:tc>
          <w:tcPr>
            <w:tcW w:w="5384" w:type="dxa"/>
          </w:tcPr>
          <w:p w14:paraId="260947A0" w14:textId="77777777" w:rsidR="00366354" w:rsidRPr="00420076" w:rsidRDefault="00366354" w:rsidP="00420076">
            <w:pPr>
              <w:rPr>
                <w:sz w:val="16"/>
                <w:szCs w:val="16"/>
              </w:rPr>
            </w:pPr>
          </w:p>
          <w:p w14:paraId="4D0D7A2C" w14:textId="77777777" w:rsidR="00366354" w:rsidRPr="00420076" w:rsidRDefault="00366354" w:rsidP="00366354">
            <w:pPr>
              <w:pStyle w:val="ListParagraph"/>
              <w:numPr>
                <w:ilvl w:val="0"/>
                <w:numId w:val="4"/>
              </w:numPr>
              <w:tabs>
                <w:tab w:val="left" w:pos="196"/>
              </w:tabs>
              <w:ind w:left="278" w:hanging="278"/>
              <w:contextualSpacing/>
              <w:rPr>
                <w:sz w:val="16"/>
                <w:szCs w:val="16"/>
              </w:rPr>
            </w:pPr>
            <w:r w:rsidRPr="00420076">
              <w:rPr>
                <w:sz w:val="16"/>
                <w:szCs w:val="16"/>
              </w:rPr>
              <w:t>Office of the Comptroller of the Currency</w:t>
            </w:r>
          </w:p>
          <w:p w14:paraId="1914DAE7" w14:textId="77777777" w:rsidR="00366354" w:rsidRPr="00420076" w:rsidRDefault="00366354" w:rsidP="00365315">
            <w:pPr>
              <w:tabs>
                <w:tab w:val="left" w:pos="196"/>
              </w:tabs>
              <w:rPr>
                <w:sz w:val="16"/>
                <w:szCs w:val="16"/>
              </w:rPr>
            </w:pPr>
            <w:r w:rsidRPr="00420076">
              <w:rPr>
                <w:sz w:val="16"/>
                <w:szCs w:val="16"/>
              </w:rPr>
              <w:t>Customer Assistance Group</w:t>
            </w:r>
            <w:r w:rsidRPr="00420076">
              <w:rPr>
                <w:sz w:val="16"/>
                <w:szCs w:val="16"/>
              </w:rPr>
              <w:br/>
              <w:t>1301 McKinney Street, Suite 3450</w:t>
            </w:r>
            <w:r w:rsidRPr="00420076">
              <w:rPr>
                <w:sz w:val="16"/>
                <w:szCs w:val="16"/>
              </w:rPr>
              <w:br/>
              <w:t>Houston, TX 77010-9050</w:t>
            </w:r>
            <w:r w:rsidRPr="00420076">
              <w:rPr>
                <w:sz w:val="16"/>
                <w:szCs w:val="16"/>
              </w:rPr>
              <w:br/>
            </w:r>
          </w:p>
          <w:p w14:paraId="501E9F7E" w14:textId="77777777" w:rsidR="00366354" w:rsidRPr="00420076" w:rsidRDefault="00366354" w:rsidP="00366354">
            <w:pPr>
              <w:pStyle w:val="ListParagraph"/>
              <w:numPr>
                <w:ilvl w:val="0"/>
                <w:numId w:val="4"/>
              </w:numPr>
              <w:ind w:left="255" w:hanging="255"/>
              <w:contextualSpacing/>
              <w:rPr>
                <w:sz w:val="16"/>
                <w:szCs w:val="16"/>
              </w:rPr>
            </w:pPr>
            <w:r w:rsidRPr="00420076">
              <w:rPr>
                <w:sz w:val="16"/>
                <w:szCs w:val="16"/>
              </w:rPr>
              <w:t>Federal Reserve Consumer Help Center</w:t>
            </w:r>
          </w:p>
          <w:p w14:paraId="41D97ADE" w14:textId="77777777" w:rsidR="00366354" w:rsidRPr="00420076" w:rsidRDefault="00366354" w:rsidP="00365315">
            <w:pPr>
              <w:pStyle w:val="ListParagraph"/>
              <w:ind w:left="255" w:hanging="255"/>
              <w:rPr>
                <w:sz w:val="16"/>
                <w:szCs w:val="16"/>
              </w:rPr>
            </w:pPr>
            <w:r w:rsidRPr="00420076">
              <w:rPr>
                <w:sz w:val="16"/>
                <w:szCs w:val="16"/>
              </w:rPr>
              <w:t>PO Box 1200</w:t>
            </w:r>
          </w:p>
          <w:p w14:paraId="4F4B652C" w14:textId="77777777" w:rsidR="00366354" w:rsidRPr="00420076" w:rsidRDefault="00366354" w:rsidP="00365315">
            <w:pPr>
              <w:pStyle w:val="ListParagraph"/>
              <w:ind w:left="255" w:hanging="255"/>
              <w:rPr>
                <w:sz w:val="16"/>
                <w:szCs w:val="16"/>
              </w:rPr>
            </w:pPr>
            <w:r w:rsidRPr="00420076">
              <w:rPr>
                <w:sz w:val="16"/>
                <w:szCs w:val="16"/>
              </w:rPr>
              <w:t>Minneapolis, MN 55480</w:t>
            </w:r>
          </w:p>
          <w:p w14:paraId="1A75309D" w14:textId="77777777" w:rsidR="00366354" w:rsidRPr="00420076" w:rsidRDefault="00366354" w:rsidP="00365315">
            <w:pPr>
              <w:pStyle w:val="ListParagraph"/>
              <w:ind w:left="255" w:hanging="255"/>
              <w:rPr>
                <w:sz w:val="16"/>
                <w:szCs w:val="16"/>
              </w:rPr>
            </w:pPr>
          </w:p>
          <w:p w14:paraId="1CD6B288" w14:textId="77777777" w:rsidR="00366354" w:rsidRPr="00420076" w:rsidRDefault="00366354" w:rsidP="00366354">
            <w:pPr>
              <w:pStyle w:val="ListParagraph"/>
              <w:numPr>
                <w:ilvl w:val="0"/>
                <w:numId w:val="4"/>
              </w:numPr>
              <w:tabs>
                <w:tab w:val="left" w:pos="188"/>
              </w:tabs>
              <w:ind w:left="255" w:hanging="255"/>
              <w:contextualSpacing/>
              <w:rPr>
                <w:sz w:val="16"/>
                <w:szCs w:val="16"/>
              </w:rPr>
            </w:pPr>
            <w:r w:rsidRPr="00420076">
              <w:rPr>
                <w:sz w:val="16"/>
                <w:szCs w:val="16"/>
              </w:rPr>
              <w:t>FDIC Consumer Response Center</w:t>
            </w:r>
          </w:p>
          <w:p w14:paraId="738BC76C" w14:textId="77777777" w:rsidR="00366354" w:rsidRPr="00420076" w:rsidRDefault="00366354" w:rsidP="00365315">
            <w:pPr>
              <w:pStyle w:val="ListParagraph"/>
              <w:tabs>
                <w:tab w:val="left" w:pos="188"/>
              </w:tabs>
              <w:ind w:left="255" w:hanging="255"/>
              <w:rPr>
                <w:sz w:val="16"/>
                <w:szCs w:val="16"/>
              </w:rPr>
            </w:pPr>
            <w:r w:rsidRPr="00420076">
              <w:rPr>
                <w:sz w:val="16"/>
                <w:szCs w:val="16"/>
              </w:rPr>
              <w:t>1100 Walnut St., Box #11</w:t>
            </w:r>
          </w:p>
          <w:p w14:paraId="546E6708" w14:textId="77777777" w:rsidR="00366354" w:rsidRPr="00420076" w:rsidRDefault="00366354" w:rsidP="00365315">
            <w:pPr>
              <w:pStyle w:val="ListParagraph"/>
              <w:tabs>
                <w:tab w:val="left" w:pos="188"/>
              </w:tabs>
              <w:ind w:left="255" w:hanging="255"/>
              <w:rPr>
                <w:sz w:val="16"/>
                <w:szCs w:val="16"/>
              </w:rPr>
            </w:pPr>
            <w:r w:rsidRPr="00420076">
              <w:rPr>
                <w:sz w:val="16"/>
                <w:szCs w:val="16"/>
              </w:rPr>
              <w:t>Kansas City, MO 64106</w:t>
            </w:r>
          </w:p>
          <w:p w14:paraId="2A736DDB" w14:textId="77777777" w:rsidR="00366354" w:rsidRPr="00420076" w:rsidRDefault="00366354" w:rsidP="00365315">
            <w:pPr>
              <w:pStyle w:val="ListParagraph"/>
              <w:tabs>
                <w:tab w:val="left" w:pos="188"/>
              </w:tabs>
              <w:ind w:left="255"/>
              <w:rPr>
                <w:sz w:val="16"/>
                <w:szCs w:val="16"/>
              </w:rPr>
            </w:pPr>
          </w:p>
          <w:p w14:paraId="294A3D22" w14:textId="77777777" w:rsidR="00366354" w:rsidRPr="00420076" w:rsidRDefault="00366354" w:rsidP="00366354">
            <w:pPr>
              <w:pStyle w:val="ListParagraph"/>
              <w:numPr>
                <w:ilvl w:val="0"/>
                <w:numId w:val="4"/>
              </w:numPr>
              <w:tabs>
                <w:tab w:val="left" w:pos="188"/>
              </w:tabs>
              <w:ind w:left="255" w:hanging="255"/>
              <w:contextualSpacing/>
              <w:rPr>
                <w:sz w:val="16"/>
                <w:szCs w:val="16"/>
              </w:rPr>
            </w:pPr>
            <w:r w:rsidRPr="00420076">
              <w:rPr>
                <w:sz w:val="16"/>
                <w:szCs w:val="16"/>
              </w:rPr>
              <w:t>National Credit Union Administration</w:t>
            </w:r>
          </w:p>
          <w:p w14:paraId="2017FB46" w14:textId="77777777" w:rsidR="00366354" w:rsidRPr="00420076" w:rsidRDefault="00366354" w:rsidP="00365315">
            <w:pPr>
              <w:pStyle w:val="ListParagraph"/>
              <w:tabs>
                <w:tab w:val="left" w:pos="188"/>
              </w:tabs>
              <w:ind w:left="255" w:hanging="255"/>
              <w:rPr>
                <w:sz w:val="16"/>
                <w:szCs w:val="16"/>
              </w:rPr>
            </w:pPr>
            <w:r w:rsidRPr="00420076">
              <w:rPr>
                <w:sz w:val="16"/>
                <w:szCs w:val="16"/>
              </w:rPr>
              <w:t>Office of Consumer Protection (OCP)</w:t>
            </w:r>
          </w:p>
          <w:p w14:paraId="530F6F91" w14:textId="77777777" w:rsidR="00366354" w:rsidRPr="00420076" w:rsidRDefault="00366354" w:rsidP="00365315">
            <w:pPr>
              <w:pStyle w:val="ListParagraph"/>
              <w:tabs>
                <w:tab w:val="left" w:pos="188"/>
              </w:tabs>
              <w:ind w:left="255" w:hanging="255"/>
              <w:rPr>
                <w:sz w:val="16"/>
                <w:szCs w:val="16"/>
              </w:rPr>
            </w:pPr>
            <w:r w:rsidRPr="00420076">
              <w:rPr>
                <w:sz w:val="16"/>
                <w:szCs w:val="16"/>
              </w:rPr>
              <w:t>Division of Consumer Compliance and Outreach (DCCO)</w:t>
            </w:r>
          </w:p>
          <w:p w14:paraId="1237DDED" w14:textId="77777777" w:rsidR="00366354" w:rsidRPr="00420076" w:rsidRDefault="00366354" w:rsidP="00365315">
            <w:pPr>
              <w:pStyle w:val="ListParagraph"/>
              <w:tabs>
                <w:tab w:val="left" w:pos="188"/>
              </w:tabs>
              <w:ind w:left="255" w:hanging="255"/>
              <w:rPr>
                <w:sz w:val="16"/>
                <w:szCs w:val="16"/>
              </w:rPr>
            </w:pPr>
            <w:r w:rsidRPr="00420076">
              <w:rPr>
                <w:sz w:val="16"/>
                <w:szCs w:val="16"/>
              </w:rPr>
              <w:t>1775 Duke Street</w:t>
            </w:r>
          </w:p>
          <w:p w14:paraId="0449952F" w14:textId="77777777" w:rsidR="00366354" w:rsidRPr="00420076" w:rsidRDefault="00366354" w:rsidP="00365315">
            <w:pPr>
              <w:pStyle w:val="ListParagraph"/>
              <w:tabs>
                <w:tab w:val="left" w:pos="188"/>
              </w:tabs>
              <w:ind w:left="255" w:hanging="255"/>
              <w:rPr>
                <w:sz w:val="16"/>
                <w:szCs w:val="16"/>
              </w:rPr>
            </w:pPr>
            <w:r w:rsidRPr="00420076">
              <w:rPr>
                <w:sz w:val="16"/>
                <w:szCs w:val="16"/>
              </w:rPr>
              <w:t>Alexandria, VA 22314</w:t>
            </w:r>
          </w:p>
        </w:tc>
      </w:tr>
      <w:tr w:rsidR="00366354" w14:paraId="3EECED2B" w14:textId="77777777" w:rsidTr="00420076">
        <w:trPr>
          <w:trHeight w:val="935"/>
        </w:trPr>
        <w:tc>
          <w:tcPr>
            <w:tcW w:w="5164" w:type="dxa"/>
          </w:tcPr>
          <w:p w14:paraId="39C7C73A" w14:textId="77777777" w:rsidR="00366354" w:rsidRPr="00420076" w:rsidRDefault="00366354" w:rsidP="00365315">
            <w:pPr>
              <w:rPr>
                <w:b/>
                <w:bCs/>
                <w:sz w:val="16"/>
                <w:szCs w:val="16"/>
              </w:rPr>
            </w:pPr>
            <w:r w:rsidRPr="00420076">
              <w:rPr>
                <w:sz w:val="16"/>
                <w:szCs w:val="16"/>
              </w:rPr>
              <w:t>3. Air carriers</w:t>
            </w:r>
          </w:p>
        </w:tc>
        <w:tc>
          <w:tcPr>
            <w:tcW w:w="5384" w:type="dxa"/>
          </w:tcPr>
          <w:p w14:paraId="4032BE3B" w14:textId="77777777" w:rsidR="00366354" w:rsidRPr="00420076" w:rsidRDefault="00366354" w:rsidP="00365315">
            <w:pPr>
              <w:rPr>
                <w:sz w:val="16"/>
                <w:szCs w:val="16"/>
              </w:rPr>
            </w:pPr>
            <w:r w:rsidRPr="00420076">
              <w:rPr>
                <w:sz w:val="16"/>
                <w:szCs w:val="16"/>
              </w:rPr>
              <w:t>Asst. General Counsel for Aviation Enforcement &amp; Proceedings</w:t>
            </w:r>
          </w:p>
          <w:p w14:paraId="75B8C62E" w14:textId="77777777" w:rsidR="00366354" w:rsidRPr="00420076" w:rsidRDefault="00366354" w:rsidP="00365315">
            <w:pPr>
              <w:rPr>
                <w:sz w:val="16"/>
                <w:szCs w:val="16"/>
              </w:rPr>
            </w:pPr>
            <w:r w:rsidRPr="00420076">
              <w:rPr>
                <w:sz w:val="16"/>
                <w:szCs w:val="16"/>
              </w:rPr>
              <w:t>Aviation Consumer Protection Division</w:t>
            </w:r>
          </w:p>
          <w:p w14:paraId="4C97D05E" w14:textId="77777777" w:rsidR="00366354" w:rsidRPr="00420076" w:rsidRDefault="00366354" w:rsidP="00365315">
            <w:pPr>
              <w:rPr>
                <w:sz w:val="16"/>
                <w:szCs w:val="16"/>
              </w:rPr>
            </w:pPr>
            <w:r w:rsidRPr="00420076">
              <w:rPr>
                <w:sz w:val="16"/>
                <w:szCs w:val="16"/>
              </w:rPr>
              <w:t>Department of Transportation</w:t>
            </w:r>
          </w:p>
          <w:p w14:paraId="77217126" w14:textId="77777777" w:rsidR="00366354" w:rsidRPr="00420076" w:rsidRDefault="00366354" w:rsidP="00365315">
            <w:pPr>
              <w:rPr>
                <w:sz w:val="16"/>
                <w:szCs w:val="16"/>
              </w:rPr>
            </w:pPr>
            <w:r w:rsidRPr="00420076">
              <w:rPr>
                <w:sz w:val="16"/>
                <w:szCs w:val="16"/>
              </w:rPr>
              <w:t>1200 New Jersey Avenue, S.E.</w:t>
            </w:r>
          </w:p>
          <w:p w14:paraId="58FEB830" w14:textId="77777777" w:rsidR="00366354" w:rsidRPr="00420076" w:rsidRDefault="00366354" w:rsidP="00365315">
            <w:pPr>
              <w:rPr>
                <w:b/>
                <w:bCs/>
                <w:sz w:val="16"/>
                <w:szCs w:val="16"/>
              </w:rPr>
            </w:pPr>
            <w:r w:rsidRPr="00420076">
              <w:rPr>
                <w:sz w:val="16"/>
                <w:szCs w:val="16"/>
              </w:rPr>
              <w:t>Washington, DC 20590</w:t>
            </w:r>
          </w:p>
        </w:tc>
      </w:tr>
      <w:tr w:rsidR="00366354" w14:paraId="6837DE83" w14:textId="77777777" w:rsidTr="00420076">
        <w:trPr>
          <w:trHeight w:val="199"/>
        </w:trPr>
        <w:tc>
          <w:tcPr>
            <w:tcW w:w="5164" w:type="dxa"/>
          </w:tcPr>
          <w:p w14:paraId="22535B65" w14:textId="77777777" w:rsidR="00366354" w:rsidRPr="00420076" w:rsidRDefault="00366354" w:rsidP="00365315">
            <w:pPr>
              <w:rPr>
                <w:b/>
                <w:bCs/>
                <w:sz w:val="16"/>
                <w:szCs w:val="16"/>
              </w:rPr>
            </w:pPr>
            <w:r w:rsidRPr="00420076">
              <w:rPr>
                <w:sz w:val="16"/>
                <w:szCs w:val="16"/>
              </w:rPr>
              <w:t>4. Creditors Subject to Surface Transportation Board</w:t>
            </w:r>
          </w:p>
        </w:tc>
        <w:tc>
          <w:tcPr>
            <w:tcW w:w="5384" w:type="dxa"/>
          </w:tcPr>
          <w:p w14:paraId="72E6042F" w14:textId="77777777" w:rsidR="00366354" w:rsidRPr="00420076" w:rsidRDefault="00366354" w:rsidP="00365315">
            <w:pPr>
              <w:rPr>
                <w:sz w:val="16"/>
                <w:szCs w:val="16"/>
              </w:rPr>
            </w:pPr>
            <w:r w:rsidRPr="00420076">
              <w:rPr>
                <w:sz w:val="16"/>
                <w:szCs w:val="16"/>
              </w:rPr>
              <w:t>Office of Proceedings, Surface Transportation Board</w:t>
            </w:r>
          </w:p>
          <w:p w14:paraId="7D3B7EC0" w14:textId="77777777" w:rsidR="00366354" w:rsidRPr="00420076" w:rsidRDefault="00366354" w:rsidP="00365315">
            <w:pPr>
              <w:rPr>
                <w:sz w:val="16"/>
                <w:szCs w:val="16"/>
              </w:rPr>
            </w:pPr>
            <w:r w:rsidRPr="00420076">
              <w:rPr>
                <w:sz w:val="16"/>
                <w:szCs w:val="16"/>
              </w:rPr>
              <w:t>Department of Transportation</w:t>
            </w:r>
          </w:p>
          <w:p w14:paraId="6E7A795E" w14:textId="77777777" w:rsidR="00366354" w:rsidRPr="00420076" w:rsidRDefault="00366354" w:rsidP="00365315">
            <w:pPr>
              <w:rPr>
                <w:sz w:val="16"/>
                <w:szCs w:val="16"/>
              </w:rPr>
            </w:pPr>
            <w:r w:rsidRPr="00420076">
              <w:rPr>
                <w:sz w:val="16"/>
                <w:szCs w:val="16"/>
              </w:rPr>
              <w:t>395 E Street, S.W.</w:t>
            </w:r>
          </w:p>
          <w:p w14:paraId="6B8F0175" w14:textId="77777777" w:rsidR="00366354" w:rsidRPr="00420076" w:rsidRDefault="00366354" w:rsidP="00365315">
            <w:pPr>
              <w:rPr>
                <w:b/>
                <w:bCs/>
                <w:sz w:val="16"/>
                <w:szCs w:val="16"/>
              </w:rPr>
            </w:pPr>
            <w:r w:rsidRPr="00420076">
              <w:rPr>
                <w:sz w:val="16"/>
                <w:szCs w:val="16"/>
              </w:rPr>
              <w:t>Washington, DC 20423</w:t>
            </w:r>
          </w:p>
        </w:tc>
      </w:tr>
      <w:tr w:rsidR="00366354" w14:paraId="0C917690" w14:textId="77777777" w:rsidTr="00420076">
        <w:trPr>
          <w:trHeight w:val="140"/>
        </w:trPr>
        <w:tc>
          <w:tcPr>
            <w:tcW w:w="5164" w:type="dxa"/>
          </w:tcPr>
          <w:p w14:paraId="42602EEB" w14:textId="77777777" w:rsidR="00366354" w:rsidRPr="00420076" w:rsidRDefault="00366354" w:rsidP="00365315">
            <w:pPr>
              <w:rPr>
                <w:b/>
                <w:bCs/>
                <w:sz w:val="16"/>
                <w:szCs w:val="16"/>
              </w:rPr>
            </w:pPr>
            <w:r w:rsidRPr="00420076">
              <w:rPr>
                <w:sz w:val="16"/>
                <w:szCs w:val="16"/>
              </w:rPr>
              <w:t>5. Creditors Subject to Packers and Stockyards Act, 1921</w:t>
            </w:r>
          </w:p>
        </w:tc>
        <w:tc>
          <w:tcPr>
            <w:tcW w:w="5384" w:type="dxa"/>
          </w:tcPr>
          <w:p w14:paraId="7EF4B35A" w14:textId="77777777" w:rsidR="00366354" w:rsidRPr="00420076" w:rsidRDefault="00366354" w:rsidP="00365315">
            <w:pPr>
              <w:rPr>
                <w:b/>
                <w:bCs/>
                <w:sz w:val="16"/>
                <w:szCs w:val="16"/>
              </w:rPr>
            </w:pPr>
            <w:r w:rsidRPr="00420076">
              <w:rPr>
                <w:sz w:val="16"/>
                <w:szCs w:val="16"/>
              </w:rPr>
              <w:t>Nearest Packers and Stockyards Administration area Supervisor</w:t>
            </w:r>
          </w:p>
        </w:tc>
      </w:tr>
      <w:tr w:rsidR="00366354" w14:paraId="23AA711F" w14:textId="77777777" w:rsidTr="00420076">
        <w:trPr>
          <w:trHeight w:val="140"/>
        </w:trPr>
        <w:tc>
          <w:tcPr>
            <w:tcW w:w="5164" w:type="dxa"/>
          </w:tcPr>
          <w:p w14:paraId="437E3752" w14:textId="77777777" w:rsidR="00366354" w:rsidRPr="00420076" w:rsidRDefault="00366354" w:rsidP="00365315">
            <w:pPr>
              <w:rPr>
                <w:b/>
                <w:bCs/>
                <w:sz w:val="16"/>
                <w:szCs w:val="16"/>
              </w:rPr>
            </w:pPr>
            <w:r w:rsidRPr="00420076">
              <w:rPr>
                <w:sz w:val="16"/>
                <w:szCs w:val="16"/>
              </w:rPr>
              <w:t>6. Small Business Investment Companies</w:t>
            </w:r>
          </w:p>
        </w:tc>
        <w:tc>
          <w:tcPr>
            <w:tcW w:w="5384" w:type="dxa"/>
          </w:tcPr>
          <w:p w14:paraId="5C1D29CA" w14:textId="77777777" w:rsidR="00366354" w:rsidRPr="00420076" w:rsidRDefault="00366354" w:rsidP="00365315">
            <w:pPr>
              <w:rPr>
                <w:sz w:val="16"/>
                <w:szCs w:val="16"/>
              </w:rPr>
            </w:pPr>
            <w:r w:rsidRPr="00420076">
              <w:rPr>
                <w:sz w:val="16"/>
                <w:szCs w:val="16"/>
              </w:rPr>
              <w:t>Associate Deputy Administrator for Capital Access</w:t>
            </w:r>
          </w:p>
          <w:p w14:paraId="65D924E3" w14:textId="77777777" w:rsidR="00366354" w:rsidRPr="00420076" w:rsidRDefault="00366354" w:rsidP="00365315">
            <w:pPr>
              <w:rPr>
                <w:sz w:val="16"/>
                <w:szCs w:val="16"/>
              </w:rPr>
            </w:pPr>
            <w:r w:rsidRPr="00420076">
              <w:rPr>
                <w:sz w:val="16"/>
                <w:szCs w:val="16"/>
              </w:rPr>
              <w:t>United States Small Business Administration</w:t>
            </w:r>
          </w:p>
          <w:p w14:paraId="566917FE" w14:textId="77777777" w:rsidR="00366354" w:rsidRPr="00420076" w:rsidRDefault="00366354" w:rsidP="00365315">
            <w:pPr>
              <w:rPr>
                <w:sz w:val="16"/>
                <w:szCs w:val="16"/>
              </w:rPr>
            </w:pPr>
            <w:r w:rsidRPr="00420076">
              <w:rPr>
                <w:sz w:val="16"/>
                <w:szCs w:val="16"/>
              </w:rPr>
              <w:t>409 Third Street, SW, 8</w:t>
            </w:r>
            <w:r w:rsidRPr="00420076">
              <w:rPr>
                <w:sz w:val="16"/>
                <w:szCs w:val="16"/>
                <w:vertAlign w:val="superscript"/>
              </w:rPr>
              <w:t>th</w:t>
            </w:r>
            <w:r w:rsidRPr="00420076">
              <w:rPr>
                <w:sz w:val="16"/>
                <w:szCs w:val="16"/>
              </w:rPr>
              <w:t xml:space="preserve"> Floor</w:t>
            </w:r>
          </w:p>
          <w:p w14:paraId="18CA4AF6" w14:textId="77777777" w:rsidR="00366354" w:rsidRPr="00420076" w:rsidRDefault="00366354" w:rsidP="00365315">
            <w:pPr>
              <w:rPr>
                <w:b/>
                <w:bCs/>
                <w:sz w:val="16"/>
                <w:szCs w:val="16"/>
              </w:rPr>
            </w:pPr>
            <w:r w:rsidRPr="00420076">
              <w:rPr>
                <w:sz w:val="16"/>
                <w:szCs w:val="16"/>
              </w:rPr>
              <w:t>Washington, DC 20416</w:t>
            </w:r>
          </w:p>
        </w:tc>
      </w:tr>
      <w:tr w:rsidR="00366354" w14:paraId="2E670528" w14:textId="77777777" w:rsidTr="00420076">
        <w:trPr>
          <w:trHeight w:val="140"/>
        </w:trPr>
        <w:tc>
          <w:tcPr>
            <w:tcW w:w="5164" w:type="dxa"/>
          </w:tcPr>
          <w:p w14:paraId="5CC27D1D" w14:textId="77777777" w:rsidR="00366354" w:rsidRPr="00420076" w:rsidRDefault="00366354" w:rsidP="00365315">
            <w:pPr>
              <w:rPr>
                <w:b/>
                <w:bCs/>
                <w:sz w:val="16"/>
                <w:szCs w:val="16"/>
              </w:rPr>
            </w:pPr>
            <w:r w:rsidRPr="00420076">
              <w:rPr>
                <w:sz w:val="16"/>
                <w:szCs w:val="16"/>
              </w:rPr>
              <w:t>7. Brokers and Dealers</w:t>
            </w:r>
          </w:p>
        </w:tc>
        <w:tc>
          <w:tcPr>
            <w:tcW w:w="5384" w:type="dxa"/>
          </w:tcPr>
          <w:p w14:paraId="2C46ACFC" w14:textId="77777777" w:rsidR="00366354" w:rsidRPr="00420076" w:rsidRDefault="00366354" w:rsidP="00365315">
            <w:pPr>
              <w:rPr>
                <w:b/>
                <w:bCs/>
                <w:sz w:val="16"/>
                <w:szCs w:val="16"/>
              </w:rPr>
            </w:pPr>
            <w:r w:rsidRPr="00420076">
              <w:rPr>
                <w:sz w:val="16"/>
                <w:szCs w:val="16"/>
              </w:rPr>
              <w:t>Securities and Exchange Commission</w:t>
            </w:r>
            <w:r w:rsidRPr="00420076">
              <w:rPr>
                <w:sz w:val="16"/>
                <w:szCs w:val="16"/>
              </w:rPr>
              <w:br/>
              <w:t>100 F Street, N.E.</w:t>
            </w:r>
            <w:r w:rsidRPr="00420076">
              <w:rPr>
                <w:sz w:val="16"/>
                <w:szCs w:val="16"/>
              </w:rPr>
              <w:br/>
              <w:t>Washington, DC 20549</w:t>
            </w:r>
          </w:p>
        </w:tc>
      </w:tr>
      <w:tr w:rsidR="00366354" w14:paraId="60227BC9" w14:textId="77777777" w:rsidTr="00420076">
        <w:trPr>
          <w:trHeight w:val="140"/>
        </w:trPr>
        <w:tc>
          <w:tcPr>
            <w:tcW w:w="5164" w:type="dxa"/>
          </w:tcPr>
          <w:p w14:paraId="413D9F8E" w14:textId="77777777" w:rsidR="00366354" w:rsidRPr="00420076" w:rsidRDefault="00366354" w:rsidP="00365315">
            <w:pPr>
              <w:rPr>
                <w:sz w:val="16"/>
                <w:szCs w:val="16"/>
              </w:rPr>
            </w:pPr>
            <w:r w:rsidRPr="00420076">
              <w:rPr>
                <w:sz w:val="16"/>
                <w:szCs w:val="16"/>
              </w:rPr>
              <w:t>8. Federal Land Banks, Federal Land Bank Associations, Federal Intermediate Credit Banks and Production Credit Associations</w:t>
            </w:r>
          </w:p>
        </w:tc>
        <w:tc>
          <w:tcPr>
            <w:tcW w:w="5384" w:type="dxa"/>
          </w:tcPr>
          <w:p w14:paraId="741EE41F" w14:textId="77777777" w:rsidR="00366354" w:rsidRPr="00420076" w:rsidRDefault="00366354" w:rsidP="00365315">
            <w:pPr>
              <w:rPr>
                <w:b/>
                <w:bCs/>
                <w:sz w:val="16"/>
                <w:szCs w:val="16"/>
              </w:rPr>
            </w:pPr>
            <w:r w:rsidRPr="00420076">
              <w:rPr>
                <w:sz w:val="16"/>
                <w:szCs w:val="16"/>
              </w:rPr>
              <w:t>Farm Credit Administration</w:t>
            </w:r>
            <w:r w:rsidRPr="00420076">
              <w:rPr>
                <w:sz w:val="16"/>
                <w:szCs w:val="16"/>
              </w:rPr>
              <w:br/>
              <w:t>1501 Farm Credit Drive</w:t>
            </w:r>
            <w:r w:rsidRPr="00420076">
              <w:rPr>
                <w:sz w:val="16"/>
                <w:szCs w:val="16"/>
              </w:rPr>
              <w:br/>
              <w:t>McLean, VA 22102-5090</w:t>
            </w:r>
          </w:p>
        </w:tc>
      </w:tr>
      <w:tr w:rsidR="00366354" w14:paraId="199E1CFE" w14:textId="77777777" w:rsidTr="00420076">
        <w:trPr>
          <w:trHeight w:val="140"/>
        </w:trPr>
        <w:tc>
          <w:tcPr>
            <w:tcW w:w="5164" w:type="dxa"/>
          </w:tcPr>
          <w:p w14:paraId="25F3B80C" w14:textId="77777777" w:rsidR="00366354" w:rsidRPr="00420076" w:rsidRDefault="00366354" w:rsidP="00365315">
            <w:pPr>
              <w:rPr>
                <w:sz w:val="16"/>
                <w:szCs w:val="16"/>
              </w:rPr>
            </w:pPr>
            <w:r w:rsidRPr="00420076">
              <w:rPr>
                <w:sz w:val="16"/>
                <w:szCs w:val="16"/>
              </w:rPr>
              <w:t>9. Retailers, Finance Companies, and All Other Creditors Not Listed Above</w:t>
            </w:r>
          </w:p>
        </w:tc>
        <w:tc>
          <w:tcPr>
            <w:tcW w:w="5384" w:type="dxa"/>
          </w:tcPr>
          <w:p w14:paraId="11E858AA" w14:textId="77777777" w:rsidR="00366354" w:rsidRPr="00420076" w:rsidRDefault="00366354" w:rsidP="00365315">
            <w:pPr>
              <w:rPr>
                <w:b/>
                <w:bCs/>
                <w:sz w:val="16"/>
                <w:szCs w:val="16"/>
              </w:rPr>
            </w:pPr>
            <w:r w:rsidRPr="00420076">
              <w:rPr>
                <w:sz w:val="16"/>
                <w:szCs w:val="16"/>
              </w:rPr>
              <w:t xml:space="preserve">FTC Regional Office for region in which the creditor operates </w:t>
            </w:r>
            <w:r w:rsidRPr="00420076">
              <w:rPr>
                <w:sz w:val="16"/>
                <w:szCs w:val="16"/>
                <w:u w:val="single"/>
              </w:rPr>
              <w:t>or</w:t>
            </w:r>
            <w:r w:rsidRPr="00420076">
              <w:rPr>
                <w:sz w:val="16"/>
                <w:szCs w:val="16"/>
              </w:rPr>
              <w:t xml:space="preserve"> Federal Trade Commission:</w:t>
            </w:r>
            <w:r w:rsidRPr="00420076">
              <w:rPr>
                <w:sz w:val="16"/>
                <w:szCs w:val="16"/>
              </w:rPr>
              <w:br/>
              <w:t>Consumer Response Center - FCRA</w:t>
            </w:r>
            <w:r w:rsidRPr="00420076">
              <w:rPr>
                <w:sz w:val="16"/>
                <w:szCs w:val="16"/>
              </w:rPr>
              <w:br/>
              <w:t>Washington, DC 20580</w:t>
            </w:r>
            <w:r w:rsidRPr="00420076">
              <w:rPr>
                <w:sz w:val="16"/>
                <w:szCs w:val="16"/>
              </w:rPr>
              <w:br/>
              <w:t>(877) 382-4357</w:t>
            </w:r>
          </w:p>
        </w:tc>
      </w:tr>
    </w:tbl>
    <w:p w14:paraId="61CB0EB1" w14:textId="77777777" w:rsidR="00366354" w:rsidRDefault="00366354" w:rsidP="00366354">
      <w:pPr>
        <w:spacing w:after="200" w:line="276" w:lineRule="auto"/>
        <w:rPr>
          <w:b/>
          <w:sz w:val="22"/>
          <w:szCs w:val="22"/>
        </w:rPr>
        <w:sectPr w:rsidR="00366354" w:rsidSect="00C55DD1">
          <w:footerReference w:type="default" r:id="rId17"/>
          <w:headerReference w:type="first" r:id="rId18"/>
          <w:footerReference w:type="first" r:id="rId19"/>
          <w:pgSz w:w="12240" w:h="15840" w:code="1"/>
          <w:pgMar w:top="1080" w:right="1152" w:bottom="360" w:left="1152" w:header="720" w:footer="288" w:gutter="0"/>
          <w:pgNumType w:start="1"/>
          <w:cols w:space="720"/>
          <w:noEndnote/>
          <w:titlePg/>
        </w:sectPr>
      </w:pPr>
    </w:p>
    <w:p w14:paraId="45FF9503" w14:textId="77777777" w:rsidR="00366354" w:rsidRDefault="00366354" w:rsidP="00366354">
      <w:pPr>
        <w:autoSpaceDE w:val="0"/>
        <w:autoSpaceDN w:val="0"/>
        <w:adjustRightInd w:val="0"/>
        <w:jc w:val="center"/>
        <w:rPr>
          <w:b/>
          <w:sz w:val="22"/>
          <w:szCs w:val="22"/>
        </w:rPr>
      </w:pPr>
      <w:r w:rsidRPr="0013294C">
        <w:rPr>
          <w:b/>
          <w:sz w:val="22"/>
          <w:szCs w:val="22"/>
        </w:rPr>
        <w:lastRenderedPageBreak/>
        <w:t>(CALIFORNIA APPLICANTS ONLY)</w:t>
      </w:r>
    </w:p>
    <w:p w14:paraId="79045F77" w14:textId="77777777" w:rsidR="00366354" w:rsidRPr="0013294C" w:rsidRDefault="00366354" w:rsidP="00366354">
      <w:pPr>
        <w:autoSpaceDE w:val="0"/>
        <w:autoSpaceDN w:val="0"/>
        <w:adjustRightInd w:val="0"/>
        <w:jc w:val="center"/>
        <w:rPr>
          <w:sz w:val="22"/>
          <w:szCs w:val="22"/>
        </w:rPr>
      </w:pPr>
    </w:p>
    <w:p w14:paraId="37CF4E18" w14:textId="77777777" w:rsidR="00366354" w:rsidRPr="00460ACA" w:rsidRDefault="00366354" w:rsidP="00366354">
      <w:pPr>
        <w:autoSpaceDE w:val="0"/>
        <w:autoSpaceDN w:val="0"/>
        <w:adjustRightInd w:val="0"/>
        <w:jc w:val="center"/>
        <w:rPr>
          <w:caps/>
          <w:sz w:val="22"/>
          <w:szCs w:val="22"/>
        </w:rPr>
      </w:pPr>
      <w:r w:rsidRPr="00460ACA">
        <w:rPr>
          <w:b/>
          <w:bCs/>
          <w:caps/>
          <w:sz w:val="22"/>
          <w:szCs w:val="22"/>
        </w:rPr>
        <w:t xml:space="preserve">California </w:t>
      </w:r>
      <w:r>
        <w:rPr>
          <w:b/>
          <w:bCs/>
          <w:caps/>
          <w:sz w:val="22"/>
          <w:szCs w:val="22"/>
        </w:rPr>
        <w:t>DISCLOSURE</w:t>
      </w:r>
    </w:p>
    <w:p w14:paraId="26F3BDEB" w14:textId="77777777" w:rsidR="00366354" w:rsidRDefault="00366354" w:rsidP="00366354">
      <w:pPr>
        <w:autoSpaceDE w:val="0"/>
        <w:autoSpaceDN w:val="0"/>
        <w:adjustRightInd w:val="0"/>
        <w:jc w:val="both"/>
        <w:rPr>
          <w:bCs/>
          <w:sz w:val="22"/>
          <w:szCs w:val="22"/>
        </w:rPr>
      </w:pPr>
    </w:p>
    <w:p w14:paraId="6FC9B9FC" w14:textId="77777777" w:rsidR="00366354" w:rsidRPr="000E5F8A" w:rsidRDefault="00366354" w:rsidP="00366354">
      <w:pPr>
        <w:autoSpaceDE w:val="0"/>
        <w:autoSpaceDN w:val="0"/>
        <w:adjustRightInd w:val="0"/>
        <w:jc w:val="both"/>
        <w:rPr>
          <w:bCs/>
          <w:sz w:val="20"/>
          <w:szCs w:val="20"/>
        </w:rPr>
      </w:pPr>
      <w:r w:rsidRPr="000E5F8A">
        <w:rPr>
          <w:bCs/>
          <w:sz w:val="20"/>
          <w:szCs w:val="20"/>
        </w:rPr>
        <w:t xml:space="preserve">The Company may order an investigative consumer report on you in connection with your employment application, and if you are hired, or if you already work for the Company, the Company may order additional such reports on you for employment purposes.  Such reports may contain information about your character, general reputation, personal characteristics, and mode of living.  The consumer reporting agency, HireRight, LLC (“HireRight”), will prepare the background report for the Company.  </w:t>
      </w:r>
      <w:r w:rsidRPr="000E5F8A">
        <w:rPr>
          <w:sz w:val="20"/>
          <w:szCs w:val="20"/>
        </w:rPr>
        <w:t xml:space="preserve">HireRight is located and can be contacted at 3349 Michelson Drive, Suite 150, Irvine, CA 92612, (800) 400-2761, </w:t>
      </w:r>
      <w:hyperlink r:id="rId20" w:history="1">
        <w:r w:rsidRPr="000E5F8A">
          <w:rPr>
            <w:rStyle w:val="Hyperlink"/>
            <w:sz w:val="20"/>
            <w:szCs w:val="20"/>
          </w:rPr>
          <w:t>www.hireright.com</w:t>
        </w:r>
      </w:hyperlink>
      <w:r w:rsidRPr="000E5F8A">
        <w:rPr>
          <w:bCs/>
          <w:sz w:val="20"/>
          <w:szCs w:val="20"/>
        </w:rPr>
        <w:t xml:space="preserve">.   </w:t>
      </w:r>
      <w:r w:rsidRPr="000E5F8A">
        <w:rPr>
          <w:sz w:val="20"/>
          <w:szCs w:val="20"/>
        </w:rPr>
        <w:t xml:space="preserve">Information about HireRight’s privacy practices is available at </w:t>
      </w:r>
      <w:hyperlink r:id="rId21" w:history="1">
        <w:r w:rsidRPr="000E5F8A">
          <w:rPr>
            <w:rStyle w:val="Hyperlink"/>
            <w:sz w:val="20"/>
            <w:szCs w:val="20"/>
          </w:rPr>
          <w:t>www.hireright.com/Privacy-Policy.aspx</w:t>
        </w:r>
      </w:hyperlink>
      <w:r w:rsidRPr="000E5F8A">
        <w:rPr>
          <w:sz w:val="20"/>
          <w:szCs w:val="20"/>
        </w:rPr>
        <w:t>.</w:t>
      </w:r>
    </w:p>
    <w:p w14:paraId="28F0DBAE" w14:textId="77777777" w:rsidR="00366354" w:rsidRPr="000E5F8A" w:rsidRDefault="00366354" w:rsidP="00366354">
      <w:pPr>
        <w:autoSpaceDE w:val="0"/>
        <w:autoSpaceDN w:val="0"/>
        <w:adjustRightInd w:val="0"/>
        <w:jc w:val="center"/>
        <w:rPr>
          <w:b/>
          <w:bCs/>
          <w:caps/>
          <w:sz w:val="20"/>
          <w:szCs w:val="20"/>
        </w:rPr>
      </w:pPr>
    </w:p>
    <w:p w14:paraId="3B2861AD" w14:textId="77777777" w:rsidR="00366354" w:rsidRPr="000E5F8A" w:rsidRDefault="00366354" w:rsidP="00366354">
      <w:pPr>
        <w:autoSpaceDE w:val="0"/>
        <w:autoSpaceDN w:val="0"/>
        <w:adjustRightInd w:val="0"/>
        <w:jc w:val="center"/>
        <w:rPr>
          <w:caps/>
          <w:sz w:val="20"/>
          <w:szCs w:val="20"/>
        </w:rPr>
      </w:pPr>
      <w:r w:rsidRPr="000E5F8A">
        <w:rPr>
          <w:b/>
          <w:bCs/>
          <w:caps/>
          <w:sz w:val="20"/>
          <w:szCs w:val="20"/>
        </w:rPr>
        <w:t>A Summary of Your Rights Under California Civil Code Section 1786.22</w:t>
      </w:r>
    </w:p>
    <w:p w14:paraId="1737FDEC" w14:textId="77777777" w:rsidR="00366354" w:rsidRPr="000E5F8A" w:rsidRDefault="00366354" w:rsidP="00366354">
      <w:pPr>
        <w:autoSpaceDE w:val="0"/>
        <w:autoSpaceDN w:val="0"/>
        <w:adjustRightInd w:val="0"/>
        <w:rPr>
          <w:sz w:val="20"/>
          <w:szCs w:val="20"/>
        </w:rPr>
      </w:pPr>
    </w:p>
    <w:p w14:paraId="5A14F291" w14:textId="77777777" w:rsidR="00366354" w:rsidRPr="000E5F8A" w:rsidRDefault="00366354" w:rsidP="00366354">
      <w:pPr>
        <w:autoSpaceDE w:val="0"/>
        <w:autoSpaceDN w:val="0"/>
        <w:adjustRightInd w:val="0"/>
        <w:rPr>
          <w:sz w:val="20"/>
          <w:szCs w:val="20"/>
        </w:rPr>
      </w:pPr>
      <w:r w:rsidRPr="000E5F8A">
        <w:rPr>
          <w:b/>
          <w:bCs/>
          <w:sz w:val="20"/>
          <w:szCs w:val="20"/>
        </w:rPr>
        <w:t xml:space="preserve">(a)  </w:t>
      </w:r>
      <w:r w:rsidRPr="000E5F8A">
        <w:rPr>
          <w:sz w:val="20"/>
          <w:szCs w:val="20"/>
        </w:rPr>
        <w:t>An investigative consumer reporting agency shall supply files and information required under Section 1786.10 during normal business hours and on reasonable notice.</w:t>
      </w:r>
    </w:p>
    <w:p w14:paraId="70AA887A" w14:textId="77777777" w:rsidR="00366354" w:rsidRPr="000E5F8A" w:rsidRDefault="00366354" w:rsidP="00366354">
      <w:pPr>
        <w:autoSpaceDE w:val="0"/>
        <w:autoSpaceDN w:val="0"/>
        <w:adjustRightInd w:val="0"/>
        <w:rPr>
          <w:sz w:val="20"/>
          <w:szCs w:val="20"/>
        </w:rPr>
      </w:pPr>
    </w:p>
    <w:p w14:paraId="5942AE6C" w14:textId="77777777" w:rsidR="00366354" w:rsidRPr="000E5F8A" w:rsidRDefault="00366354" w:rsidP="00366354">
      <w:pPr>
        <w:autoSpaceDE w:val="0"/>
        <w:autoSpaceDN w:val="0"/>
        <w:adjustRightInd w:val="0"/>
        <w:rPr>
          <w:sz w:val="20"/>
          <w:szCs w:val="20"/>
        </w:rPr>
      </w:pPr>
      <w:r w:rsidRPr="000E5F8A">
        <w:rPr>
          <w:b/>
          <w:bCs/>
          <w:sz w:val="20"/>
          <w:szCs w:val="20"/>
        </w:rPr>
        <w:t xml:space="preserve">(b)  </w:t>
      </w:r>
      <w:r w:rsidRPr="000E5F8A">
        <w:rPr>
          <w:sz w:val="20"/>
          <w:szCs w:val="20"/>
        </w:rPr>
        <w:t>Files maintained on a consumer shall be made available for the consumer’s visual inspection, as follows:</w:t>
      </w:r>
    </w:p>
    <w:p w14:paraId="6E2A5A0C" w14:textId="77777777" w:rsidR="00366354" w:rsidRPr="000E5F8A" w:rsidRDefault="00366354" w:rsidP="00366354">
      <w:pPr>
        <w:autoSpaceDE w:val="0"/>
        <w:autoSpaceDN w:val="0"/>
        <w:adjustRightInd w:val="0"/>
        <w:rPr>
          <w:sz w:val="20"/>
          <w:szCs w:val="20"/>
        </w:rPr>
      </w:pPr>
    </w:p>
    <w:p w14:paraId="69CD5F04" w14:textId="77777777" w:rsidR="00366354" w:rsidRPr="000E5F8A" w:rsidRDefault="00366354" w:rsidP="00366354">
      <w:pPr>
        <w:autoSpaceDE w:val="0"/>
        <w:autoSpaceDN w:val="0"/>
        <w:adjustRightInd w:val="0"/>
        <w:ind w:left="720"/>
        <w:rPr>
          <w:sz w:val="20"/>
          <w:szCs w:val="20"/>
        </w:rPr>
      </w:pPr>
      <w:r w:rsidRPr="000E5F8A">
        <w:rPr>
          <w:b/>
          <w:bCs/>
          <w:sz w:val="20"/>
          <w:szCs w:val="20"/>
        </w:rPr>
        <w:t xml:space="preserve">(1)  </w:t>
      </w:r>
      <w:r w:rsidRPr="000E5F8A">
        <w:rPr>
          <w:sz w:val="20"/>
          <w:szCs w:val="20"/>
        </w:rPr>
        <w:t>In person, if he appears in person and furnishes proper identification. A copy of his file shall also be available to the consumer for a fee not to exceed the actual costs of duplication services provided.</w:t>
      </w:r>
    </w:p>
    <w:p w14:paraId="06C30296" w14:textId="77777777" w:rsidR="00366354" w:rsidRPr="000E5F8A" w:rsidRDefault="00366354" w:rsidP="00366354">
      <w:pPr>
        <w:autoSpaceDE w:val="0"/>
        <w:autoSpaceDN w:val="0"/>
        <w:adjustRightInd w:val="0"/>
        <w:ind w:left="720"/>
        <w:rPr>
          <w:sz w:val="20"/>
          <w:szCs w:val="20"/>
        </w:rPr>
      </w:pPr>
    </w:p>
    <w:p w14:paraId="0246D7B6" w14:textId="77777777" w:rsidR="00366354" w:rsidRPr="000E5F8A" w:rsidRDefault="00366354" w:rsidP="00366354">
      <w:pPr>
        <w:autoSpaceDE w:val="0"/>
        <w:autoSpaceDN w:val="0"/>
        <w:adjustRightInd w:val="0"/>
        <w:ind w:left="720"/>
        <w:rPr>
          <w:sz w:val="20"/>
          <w:szCs w:val="20"/>
        </w:rPr>
      </w:pPr>
      <w:r w:rsidRPr="000E5F8A">
        <w:rPr>
          <w:b/>
          <w:bCs/>
          <w:sz w:val="20"/>
          <w:szCs w:val="20"/>
        </w:rPr>
        <w:t xml:space="preserve">(2)  </w:t>
      </w:r>
      <w:r w:rsidRPr="000E5F8A">
        <w:rPr>
          <w:sz w:val="20"/>
          <w:szCs w:val="20"/>
        </w:rPr>
        <w:t>By certified mail, if he makes a written request, with proper identification, for copies to be sent to a specified addressee.  Investigative consumer reporting agencies complying with requests for certified mailings under this section shall not be liable for disclosures to third parties caused by mishandling of mail after such mailings leave the investigative consumer reporting agencies.</w:t>
      </w:r>
    </w:p>
    <w:p w14:paraId="72CE22D4" w14:textId="77777777" w:rsidR="00366354" w:rsidRPr="000E5F8A" w:rsidRDefault="00366354" w:rsidP="00366354">
      <w:pPr>
        <w:autoSpaceDE w:val="0"/>
        <w:autoSpaceDN w:val="0"/>
        <w:adjustRightInd w:val="0"/>
        <w:ind w:left="720"/>
        <w:rPr>
          <w:sz w:val="20"/>
          <w:szCs w:val="20"/>
        </w:rPr>
      </w:pPr>
    </w:p>
    <w:p w14:paraId="691B0452" w14:textId="77777777" w:rsidR="00366354" w:rsidRPr="000E5F8A" w:rsidRDefault="00366354" w:rsidP="00366354">
      <w:pPr>
        <w:autoSpaceDE w:val="0"/>
        <w:autoSpaceDN w:val="0"/>
        <w:adjustRightInd w:val="0"/>
        <w:ind w:left="720"/>
        <w:rPr>
          <w:sz w:val="20"/>
          <w:szCs w:val="20"/>
        </w:rPr>
      </w:pPr>
      <w:r w:rsidRPr="000E5F8A">
        <w:rPr>
          <w:b/>
          <w:bCs/>
          <w:sz w:val="20"/>
          <w:szCs w:val="20"/>
        </w:rPr>
        <w:t xml:space="preserve">(3)  </w:t>
      </w:r>
      <w:r w:rsidRPr="000E5F8A">
        <w:rPr>
          <w:sz w:val="20"/>
          <w:szCs w:val="20"/>
        </w:rPr>
        <w:t>A summary of all information contained in files on a consumer and required to be provided by Section 1786.10 shall be provided by telephone, if the consumer has made a written request, with proper identification for telephone disclosure, and the toll charge, if any, for the telephone call is prepaid by or charged directly to the consumer.</w:t>
      </w:r>
    </w:p>
    <w:p w14:paraId="4C819E85" w14:textId="77777777" w:rsidR="00366354" w:rsidRPr="000E5F8A" w:rsidRDefault="00366354" w:rsidP="00366354">
      <w:pPr>
        <w:autoSpaceDE w:val="0"/>
        <w:autoSpaceDN w:val="0"/>
        <w:adjustRightInd w:val="0"/>
        <w:rPr>
          <w:sz w:val="20"/>
          <w:szCs w:val="20"/>
        </w:rPr>
      </w:pPr>
    </w:p>
    <w:p w14:paraId="23AB4144" w14:textId="77777777" w:rsidR="00366354" w:rsidRPr="000E5F8A" w:rsidRDefault="00366354" w:rsidP="00366354">
      <w:pPr>
        <w:autoSpaceDE w:val="0"/>
        <w:autoSpaceDN w:val="0"/>
        <w:adjustRightInd w:val="0"/>
        <w:rPr>
          <w:sz w:val="20"/>
          <w:szCs w:val="20"/>
        </w:rPr>
      </w:pPr>
      <w:r w:rsidRPr="000E5F8A">
        <w:rPr>
          <w:b/>
          <w:bCs/>
          <w:sz w:val="20"/>
          <w:szCs w:val="20"/>
        </w:rPr>
        <w:t xml:space="preserve">(c)  </w:t>
      </w:r>
      <w:r w:rsidRPr="000E5F8A">
        <w:rPr>
          <w:sz w:val="20"/>
          <w:szCs w:val="20"/>
        </w:rPr>
        <w:t xml:space="preserve">The term “proper identification” as used in subdivision (b) shall mean that information generally deemed sufficient to identify a person.  Such information includes documents such as a valid driver’s license, social security account number, military identification card, and credit cards.  Only if the consumer is unable to reasonably identify himself with the information described above, may an investigative consumer reporting agency require additional information concerning the consumer’s employment and personal or family history </w:t>
      </w:r>
      <w:proofErr w:type="gramStart"/>
      <w:r w:rsidRPr="000E5F8A">
        <w:rPr>
          <w:sz w:val="20"/>
          <w:szCs w:val="20"/>
        </w:rPr>
        <w:t>in order to</w:t>
      </w:r>
      <w:proofErr w:type="gramEnd"/>
      <w:r w:rsidRPr="000E5F8A">
        <w:rPr>
          <w:sz w:val="20"/>
          <w:szCs w:val="20"/>
        </w:rPr>
        <w:t xml:space="preserve"> verify his identity.</w:t>
      </w:r>
    </w:p>
    <w:p w14:paraId="7BF38539" w14:textId="77777777" w:rsidR="00366354" w:rsidRPr="000E5F8A" w:rsidRDefault="00366354" w:rsidP="00366354">
      <w:pPr>
        <w:autoSpaceDE w:val="0"/>
        <w:autoSpaceDN w:val="0"/>
        <w:adjustRightInd w:val="0"/>
        <w:rPr>
          <w:sz w:val="20"/>
          <w:szCs w:val="20"/>
        </w:rPr>
      </w:pPr>
    </w:p>
    <w:p w14:paraId="484ACC66" w14:textId="77777777" w:rsidR="00366354" w:rsidRPr="000E5F8A" w:rsidRDefault="00366354" w:rsidP="00366354">
      <w:pPr>
        <w:autoSpaceDE w:val="0"/>
        <w:autoSpaceDN w:val="0"/>
        <w:adjustRightInd w:val="0"/>
        <w:rPr>
          <w:sz w:val="20"/>
          <w:szCs w:val="20"/>
        </w:rPr>
      </w:pPr>
      <w:r w:rsidRPr="000E5F8A">
        <w:rPr>
          <w:b/>
          <w:bCs/>
          <w:sz w:val="20"/>
          <w:szCs w:val="20"/>
        </w:rPr>
        <w:t xml:space="preserve">(d)  </w:t>
      </w:r>
      <w:r w:rsidRPr="000E5F8A">
        <w:rPr>
          <w:sz w:val="20"/>
          <w:szCs w:val="20"/>
        </w:rPr>
        <w:t>The investigative consumer reporting agency shall provide trained personnel to explain to the consumer any information furnished him pursuant to Section 1786.10.</w:t>
      </w:r>
    </w:p>
    <w:p w14:paraId="78904615" w14:textId="77777777" w:rsidR="00366354" w:rsidRPr="000E5F8A" w:rsidRDefault="00366354" w:rsidP="00366354">
      <w:pPr>
        <w:autoSpaceDE w:val="0"/>
        <w:autoSpaceDN w:val="0"/>
        <w:adjustRightInd w:val="0"/>
        <w:rPr>
          <w:sz w:val="20"/>
          <w:szCs w:val="20"/>
        </w:rPr>
      </w:pPr>
    </w:p>
    <w:p w14:paraId="51DD9C72" w14:textId="77777777" w:rsidR="00366354" w:rsidRPr="000E5F8A" w:rsidRDefault="00366354" w:rsidP="00366354">
      <w:pPr>
        <w:autoSpaceDE w:val="0"/>
        <w:autoSpaceDN w:val="0"/>
        <w:adjustRightInd w:val="0"/>
        <w:rPr>
          <w:sz w:val="20"/>
          <w:szCs w:val="20"/>
        </w:rPr>
      </w:pPr>
      <w:r w:rsidRPr="000E5F8A">
        <w:rPr>
          <w:b/>
          <w:bCs/>
          <w:sz w:val="20"/>
          <w:szCs w:val="20"/>
        </w:rPr>
        <w:t xml:space="preserve">(e)  </w:t>
      </w:r>
      <w:r w:rsidRPr="000E5F8A">
        <w:rPr>
          <w:sz w:val="20"/>
          <w:szCs w:val="20"/>
        </w:rPr>
        <w:t>The investigative consumer reporting agency shall provide a written explanation of any coded information contained in files maintained on a consumer.  This written explanation shall be distributed whenever a file is provided to a consumer for visual inspection as required under Section 1786.22.</w:t>
      </w:r>
    </w:p>
    <w:p w14:paraId="3DC7B554" w14:textId="77777777" w:rsidR="00366354" w:rsidRPr="000E5F8A" w:rsidRDefault="00366354" w:rsidP="00366354">
      <w:pPr>
        <w:autoSpaceDE w:val="0"/>
        <w:autoSpaceDN w:val="0"/>
        <w:adjustRightInd w:val="0"/>
        <w:rPr>
          <w:sz w:val="20"/>
          <w:szCs w:val="20"/>
        </w:rPr>
      </w:pPr>
    </w:p>
    <w:p w14:paraId="31843148" w14:textId="77777777" w:rsidR="00366354" w:rsidRPr="000E5F8A" w:rsidRDefault="00366354" w:rsidP="00366354">
      <w:pPr>
        <w:autoSpaceDE w:val="0"/>
        <w:autoSpaceDN w:val="0"/>
        <w:adjustRightInd w:val="0"/>
        <w:rPr>
          <w:sz w:val="20"/>
          <w:szCs w:val="20"/>
        </w:rPr>
      </w:pPr>
      <w:r w:rsidRPr="000E5F8A">
        <w:rPr>
          <w:b/>
          <w:bCs/>
          <w:sz w:val="20"/>
          <w:szCs w:val="20"/>
        </w:rPr>
        <w:t xml:space="preserve">(f)  </w:t>
      </w:r>
      <w:r w:rsidRPr="000E5F8A">
        <w:rPr>
          <w:sz w:val="20"/>
          <w:szCs w:val="20"/>
        </w:rPr>
        <w:t>The consumer shall be permitted to be accompanied by one other person of his choosing, who shall furnish reasonable identification.  An investigative consumer reporting agency may require the consumer to furnish a written statement granting permission to the consumer reporting agency to discuss the consumer’s file in such person’s presence.</w:t>
      </w:r>
    </w:p>
    <w:p w14:paraId="376361DC" w14:textId="77777777" w:rsidR="00366354" w:rsidRDefault="00366354" w:rsidP="00366354">
      <w:pPr>
        <w:autoSpaceDE w:val="0"/>
        <w:autoSpaceDN w:val="0"/>
        <w:adjustRightInd w:val="0"/>
        <w:jc w:val="center"/>
        <w:rPr>
          <w:sz w:val="22"/>
          <w:szCs w:val="22"/>
        </w:rPr>
        <w:sectPr w:rsidR="00366354" w:rsidSect="0048349B">
          <w:footerReference w:type="first" r:id="rId22"/>
          <w:pgSz w:w="12240" w:h="15840" w:code="1"/>
          <w:pgMar w:top="1080" w:right="1152" w:bottom="360" w:left="1152" w:header="720" w:footer="288" w:gutter="0"/>
          <w:pgNumType w:start="1"/>
          <w:cols w:space="720"/>
          <w:noEndnote/>
          <w:titlePg/>
        </w:sectPr>
      </w:pPr>
    </w:p>
    <w:p w14:paraId="7AAE126E" w14:textId="77777777" w:rsidR="00366354" w:rsidRPr="00241D02" w:rsidRDefault="00366354" w:rsidP="00366354">
      <w:pPr>
        <w:autoSpaceDE w:val="0"/>
        <w:autoSpaceDN w:val="0"/>
        <w:adjustRightInd w:val="0"/>
        <w:jc w:val="center"/>
        <w:rPr>
          <w:b/>
          <w:u w:val="single"/>
        </w:rPr>
      </w:pPr>
      <w:r w:rsidRPr="00241D02">
        <w:rPr>
          <w:b/>
          <w:bCs/>
          <w:color w:val="FF0000"/>
          <w:sz w:val="32"/>
          <w:szCs w:val="32"/>
          <w:u w:val="single"/>
        </w:rPr>
        <w:lastRenderedPageBreak/>
        <w:t>NOTICE TO JOB APPLICANTS AND EMPLOYEES</w:t>
      </w:r>
    </w:p>
    <w:p w14:paraId="0305FA2E" w14:textId="77777777" w:rsidR="00366354" w:rsidRDefault="00366354" w:rsidP="00366354">
      <w:pPr>
        <w:spacing w:before="60"/>
        <w:jc w:val="center"/>
        <w:rPr>
          <w:b/>
          <w:bCs/>
          <w:sz w:val="48"/>
          <w:szCs w:val="48"/>
        </w:rPr>
      </w:pPr>
      <w:r w:rsidRPr="00B067CB">
        <w:rPr>
          <w:b/>
          <w:bCs/>
          <w:sz w:val="48"/>
          <w:szCs w:val="48"/>
        </w:rPr>
        <w:t>San Franc</w:t>
      </w:r>
      <w:r w:rsidRPr="00B067CB">
        <w:rPr>
          <w:b/>
          <w:bCs/>
          <w:spacing w:val="1"/>
          <w:sz w:val="48"/>
          <w:szCs w:val="48"/>
        </w:rPr>
        <w:t>i</w:t>
      </w:r>
      <w:r w:rsidRPr="00B067CB">
        <w:rPr>
          <w:b/>
          <w:bCs/>
          <w:sz w:val="48"/>
          <w:szCs w:val="48"/>
        </w:rPr>
        <w:t>s</w:t>
      </w:r>
      <w:r w:rsidRPr="00B067CB">
        <w:rPr>
          <w:b/>
          <w:bCs/>
          <w:spacing w:val="1"/>
          <w:sz w:val="48"/>
          <w:szCs w:val="48"/>
        </w:rPr>
        <w:t>c</w:t>
      </w:r>
      <w:r w:rsidRPr="00B067CB">
        <w:rPr>
          <w:b/>
          <w:bCs/>
          <w:sz w:val="48"/>
          <w:szCs w:val="48"/>
        </w:rPr>
        <w:t xml:space="preserve">o Fair </w:t>
      </w:r>
      <w:r w:rsidRPr="00B067CB">
        <w:rPr>
          <w:b/>
          <w:bCs/>
          <w:spacing w:val="-1"/>
          <w:sz w:val="48"/>
          <w:szCs w:val="48"/>
        </w:rPr>
        <w:t>C</w:t>
      </w:r>
      <w:r w:rsidRPr="00B067CB">
        <w:rPr>
          <w:b/>
          <w:bCs/>
          <w:sz w:val="48"/>
          <w:szCs w:val="48"/>
        </w:rPr>
        <w:t>ha</w:t>
      </w:r>
      <w:r w:rsidRPr="00B067CB">
        <w:rPr>
          <w:b/>
          <w:bCs/>
          <w:spacing w:val="-1"/>
          <w:sz w:val="48"/>
          <w:szCs w:val="48"/>
        </w:rPr>
        <w:t>n</w:t>
      </w:r>
      <w:r w:rsidRPr="00B067CB">
        <w:rPr>
          <w:b/>
          <w:bCs/>
          <w:sz w:val="48"/>
          <w:szCs w:val="48"/>
        </w:rPr>
        <w:t xml:space="preserve">ce </w:t>
      </w:r>
      <w:r w:rsidRPr="00B067CB">
        <w:rPr>
          <w:b/>
          <w:bCs/>
          <w:spacing w:val="1"/>
          <w:sz w:val="48"/>
          <w:szCs w:val="48"/>
        </w:rPr>
        <w:t>O</w:t>
      </w:r>
      <w:r w:rsidRPr="00B067CB">
        <w:rPr>
          <w:b/>
          <w:bCs/>
          <w:sz w:val="48"/>
          <w:szCs w:val="48"/>
        </w:rPr>
        <w:t>rd</w:t>
      </w:r>
      <w:r w:rsidRPr="00B067CB">
        <w:rPr>
          <w:b/>
          <w:bCs/>
          <w:spacing w:val="1"/>
          <w:sz w:val="48"/>
          <w:szCs w:val="48"/>
        </w:rPr>
        <w:t>i</w:t>
      </w:r>
      <w:r w:rsidRPr="00B067CB">
        <w:rPr>
          <w:b/>
          <w:bCs/>
          <w:sz w:val="48"/>
          <w:szCs w:val="48"/>
        </w:rPr>
        <w:t>n</w:t>
      </w:r>
      <w:r w:rsidRPr="00B067CB">
        <w:rPr>
          <w:b/>
          <w:bCs/>
          <w:spacing w:val="-3"/>
          <w:sz w:val="48"/>
          <w:szCs w:val="48"/>
        </w:rPr>
        <w:t>a</w:t>
      </w:r>
      <w:r w:rsidRPr="00B067CB">
        <w:rPr>
          <w:b/>
          <w:bCs/>
          <w:sz w:val="48"/>
          <w:szCs w:val="48"/>
        </w:rPr>
        <w:t>nce</w:t>
      </w:r>
    </w:p>
    <w:p w14:paraId="175B5FB3" w14:textId="77777777" w:rsidR="00366354" w:rsidRPr="00B067CB" w:rsidRDefault="00366354" w:rsidP="00366354">
      <w:pPr>
        <w:spacing w:before="60"/>
        <w:jc w:val="center"/>
        <w:rPr>
          <w:sz w:val="48"/>
          <w:szCs w:val="48"/>
        </w:rPr>
      </w:pPr>
      <w:r>
        <w:rPr>
          <w:b/>
          <w:bCs/>
          <w:sz w:val="32"/>
          <w:szCs w:val="32"/>
        </w:rPr>
        <w:t>Police Code, Article 49</w:t>
      </w:r>
    </w:p>
    <w:p w14:paraId="27731738" w14:textId="77777777" w:rsidR="00366354" w:rsidRPr="00B067CB" w:rsidRDefault="00366354" w:rsidP="00366354">
      <w:pPr>
        <w:spacing w:line="236" w:lineRule="auto"/>
        <w:rPr>
          <w:b/>
          <w:bCs/>
          <w:sz w:val="20"/>
          <w:szCs w:val="20"/>
        </w:rPr>
      </w:pPr>
    </w:p>
    <w:p w14:paraId="054E8AE0" w14:textId="77777777" w:rsidR="00366354" w:rsidRPr="000E5F8A" w:rsidRDefault="00366354" w:rsidP="00366354">
      <w:pPr>
        <w:pStyle w:val="Default"/>
        <w:spacing w:after="240"/>
        <w:rPr>
          <w:sz w:val="20"/>
          <w:szCs w:val="20"/>
        </w:rPr>
      </w:pPr>
      <w:r w:rsidRPr="000E5F8A">
        <w:rPr>
          <w:b/>
          <w:bCs/>
          <w:sz w:val="20"/>
          <w:szCs w:val="20"/>
        </w:rPr>
        <w:t xml:space="preserve">Starting August 13, 2014, the Fair Chance Ordinance (San Francisco Police Code, Article 49) requires employers to follow strict rules regarding the use of arrest and conviction records in hiring and employment decisions. </w:t>
      </w:r>
      <w:r w:rsidRPr="000E5F8A">
        <w:rPr>
          <w:sz w:val="20"/>
          <w:szCs w:val="20"/>
        </w:rPr>
        <w:t xml:space="preserve">The ordinance covers job applicants and employees who would be or are performing work in whole, or in substantial part, in San Francisco and applies to employers who have 20 or more employees (regardless of the employees’ locations). </w:t>
      </w:r>
    </w:p>
    <w:p w14:paraId="31326A73" w14:textId="77777777" w:rsidR="00366354" w:rsidRPr="000E5F8A" w:rsidRDefault="00366354" w:rsidP="00366354">
      <w:pPr>
        <w:pStyle w:val="Default"/>
        <w:spacing w:after="240"/>
        <w:rPr>
          <w:sz w:val="20"/>
          <w:szCs w:val="20"/>
        </w:rPr>
      </w:pPr>
      <w:r w:rsidRPr="000E5F8A">
        <w:rPr>
          <w:b/>
          <w:bCs/>
          <w:sz w:val="20"/>
          <w:szCs w:val="20"/>
        </w:rPr>
        <w:t xml:space="preserve">Certain matters are off-limits. </w:t>
      </w:r>
      <w:r w:rsidRPr="000E5F8A">
        <w:rPr>
          <w:sz w:val="20"/>
          <w:szCs w:val="20"/>
        </w:rPr>
        <w:t xml:space="preserve">An employer may </w:t>
      </w:r>
      <w:r w:rsidRPr="000E5F8A">
        <w:rPr>
          <w:i/>
          <w:iCs/>
          <w:sz w:val="20"/>
          <w:szCs w:val="20"/>
        </w:rPr>
        <w:t xml:space="preserve">never </w:t>
      </w:r>
      <w:r w:rsidRPr="000E5F8A">
        <w:rPr>
          <w:sz w:val="20"/>
          <w:szCs w:val="20"/>
        </w:rPr>
        <w:t xml:space="preserve">ask about, require disclosure of, or consider: an arrest not leading to a conviction (other than an unresolved arrest that is still undergoing criminal investigation or trial); participation in a diversion or deferral of judgment program; a conviction that has been expunged or made inoperative; any determination in the juvenile justice system; a conviction more than 7 years old; and a criminal offense other than a felony/misdemeanor. Matters that are off-limits cannot be used by the employer for any reason at any stage of the hiring process. </w:t>
      </w:r>
    </w:p>
    <w:p w14:paraId="762A84A8" w14:textId="77777777" w:rsidR="00366354" w:rsidRPr="000E5F8A" w:rsidRDefault="00366354" w:rsidP="00366354">
      <w:pPr>
        <w:pStyle w:val="Default"/>
        <w:spacing w:after="240"/>
        <w:rPr>
          <w:sz w:val="20"/>
          <w:szCs w:val="20"/>
        </w:rPr>
      </w:pPr>
      <w:r w:rsidRPr="000E5F8A">
        <w:rPr>
          <w:b/>
          <w:bCs/>
          <w:sz w:val="20"/>
          <w:szCs w:val="20"/>
        </w:rPr>
        <w:t xml:space="preserve">An employer cannot ask about an individual’s conviction history or unresolved arrests at the start of the hiring process. </w:t>
      </w:r>
      <w:r w:rsidRPr="000E5F8A">
        <w:rPr>
          <w:sz w:val="20"/>
          <w:szCs w:val="20"/>
        </w:rPr>
        <w:t xml:space="preserve">This includes through a job application form, informal conversation, or otherwise. </w:t>
      </w:r>
    </w:p>
    <w:p w14:paraId="58301ACA" w14:textId="77777777" w:rsidR="00366354" w:rsidRPr="000E5F8A" w:rsidRDefault="00366354" w:rsidP="00366354">
      <w:pPr>
        <w:pStyle w:val="Default"/>
        <w:spacing w:after="240"/>
        <w:rPr>
          <w:sz w:val="20"/>
          <w:szCs w:val="20"/>
        </w:rPr>
      </w:pPr>
      <w:r w:rsidRPr="000E5F8A">
        <w:rPr>
          <w:b/>
          <w:bCs/>
          <w:sz w:val="20"/>
          <w:szCs w:val="20"/>
        </w:rPr>
        <w:t xml:space="preserve">A mandatory interactive process for matters not off-limits. </w:t>
      </w:r>
      <w:r w:rsidRPr="000E5F8A">
        <w:rPr>
          <w:sz w:val="20"/>
          <w:szCs w:val="20"/>
        </w:rPr>
        <w:t xml:space="preserve">Only after a live interview has been conducted, or a conditional offer of employment made, is the employer allowed to ask about an individual’s conviction history (except as to matters that are off-limits) and unresolved arrests. Only those convictions and unresolved arrests that </w:t>
      </w:r>
      <w:r w:rsidRPr="000E5F8A">
        <w:rPr>
          <w:i/>
          <w:iCs/>
          <w:sz w:val="20"/>
          <w:szCs w:val="20"/>
        </w:rPr>
        <w:t xml:space="preserve">directly relate </w:t>
      </w:r>
      <w:r w:rsidRPr="000E5F8A">
        <w:rPr>
          <w:sz w:val="20"/>
          <w:szCs w:val="20"/>
        </w:rPr>
        <w:t xml:space="preserve">to the individual’s ability to do the job may be considered in making an employment decision. </w:t>
      </w:r>
    </w:p>
    <w:p w14:paraId="488097AA" w14:textId="77777777" w:rsidR="00366354" w:rsidRPr="000E5F8A" w:rsidRDefault="00366354" w:rsidP="00366354">
      <w:pPr>
        <w:pStyle w:val="Default"/>
        <w:spacing w:after="240"/>
        <w:rPr>
          <w:sz w:val="20"/>
          <w:szCs w:val="20"/>
        </w:rPr>
      </w:pPr>
      <w:r w:rsidRPr="000E5F8A">
        <w:rPr>
          <w:sz w:val="20"/>
          <w:szCs w:val="20"/>
        </w:rPr>
        <w:t xml:space="preserve">Before the employer may take an adverse action such as failing/refusing to hire, discharging, or not promoting an individual based on a conviction history or unresolved arrest, the employer must give the individual an opportunity to present evidence that the information is inaccurate, the individual has been rehabilitated, or other mitigating factors. The individual has seven days to respond, at which point the employer must delay any adverse action for a reasonable time and reconsider the adverse action. The employer must notify the individual of any final adverse action. </w:t>
      </w:r>
    </w:p>
    <w:p w14:paraId="08473E43" w14:textId="77777777" w:rsidR="00366354" w:rsidRPr="000E5F8A" w:rsidRDefault="00366354" w:rsidP="00366354">
      <w:pPr>
        <w:pStyle w:val="Default"/>
        <w:spacing w:after="240"/>
        <w:rPr>
          <w:sz w:val="20"/>
          <w:szCs w:val="20"/>
        </w:rPr>
      </w:pPr>
      <w:r w:rsidRPr="000E5F8A">
        <w:rPr>
          <w:i/>
          <w:iCs/>
          <w:sz w:val="20"/>
          <w:szCs w:val="20"/>
        </w:rPr>
        <w:t xml:space="preserve">Evidence of rehabilitation </w:t>
      </w:r>
      <w:r w:rsidRPr="000E5F8A">
        <w:rPr>
          <w:sz w:val="20"/>
          <w:szCs w:val="20"/>
        </w:rPr>
        <w:t xml:space="preserve">include satisfying parole/probation; receiving education/training; participating in alcohol/drug treatment programs; letters of recommendation; and age at which the individual was convicted. </w:t>
      </w:r>
      <w:r w:rsidRPr="000E5F8A">
        <w:rPr>
          <w:i/>
          <w:iCs/>
          <w:sz w:val="20"/>
          <w:szCs w:val="20"/>
        </w:rPr>
        <w:t xml:space="preserve">Mitigating factors </w:t>
      </w:r>
      <w:r w:rsidRPr="000E5F8A">
        <w:rPr>
          <w:sz w:val="20"/>
          <w:szCs w:val="20"/>
        </w:rPr>
        <w:t xml:space="preserve">include coercion, physical or emotional abuse, and untreated substance abuse/mental illness, that contributed to the conviction. </w:t>
      </w:r>
    </w:p>
    <w:p w14:paraId="302C3A3A" w14:textId="77777777" w:rsidR="00366354" w:rsidRPr="000E5F8A" w:rsidRDefault="00366354" w:rsidP="00366354">
      <w:pPr>
        <w:pStyle w:val="Default"/>
        <w:spacing w:after="240"/>
        <w:rPr>
          <w:sz w:val="20"/>
          <w:szCs w:val="20"/>
        </w:rPr>
      </w:pPr>
      <w:r w:rsidRPr="000E5F8A">
        <w:rPr>
          <w:b/>
          <w:bCs/>
          <w:sz w:val="20"/>
          <w:szCs w:val="20"/>
        </w:rPr>
        <w:t xml:space="preserve">Preemption. </w:t>
      </w:r>
      <w:r w:rsidRPr="000E5F8A">
        <w:rPr>
          <w:sz w:val="20"/>
          <w:szCs w:val="20"/>
        </w:rPr>
        <w:t xml:space="preserve">Where federal or state law imposes a criminal history requirement that conflicts with a requirement of the Fair Chance Ordinance, the federal or state law will apply. </w:t>
      </w:r>
    </w:p>
    <w:p w14:paraId="2BC28B27" w14:textId="77777777" w:rsidR="00366354" w:rsidRPr="000E5F8A" w:rsidRDefault="00366354" w:rsidP="00366354">
      <w:pPr>
        <w:pStyle w:val="Default"/>
        <w:spacing w:after="240"/>
        <w:rPr>
          <w:sz w:val="20"/>
          <w:szCs w:val="20"/>
        </w:rPr>
      </w:pPr>
      <w:r w:rsidRPr="000E5F8A">
        <w:rPr>
          <w:b/>
          <w:bCs/>
          <w:sz w:val="20"/>
          <w:szCs w:val="20"/>
        </w:rPr>
        <w:t xml:space="preserve">No Retaliation. </w:t>
      </w:r>
      <w:r w:rsidRPr="000E5F8A">
        <w:rPr>
          <w:sz w:val="20"/>
          <w:szCs w:val="20"/>
        </w:rPr>
        <w:t xml:space="preserve">An employer may not take an adverse action against an applicant or employee for exercising their rights under the ordinance or cooperating with the Office of Labor Standards Enforcement OLSE. </w:t>
      </w:r>
    </w:p>
    <w:p w14:paraId="616126F7" w14:textId="77777777" w:rsidR="00366354" w:rsidRPr="000E5F8A" w:rsidRDefault="00366354" w:rsidP="00366354">
      <w:pPr>
        <w:spacing w:after="240"/>
        <w:rPr>
          <w:sz w:val="20"/>
          <w:szCs w:val="20"/>
        </w:rPr>
      </w:pPr>
      <w:r w:rsidRPr="000E5F8A">
        <w:rPr>
          <w:sz w:val="20"/>
          <w:szCs w:val="20"/>
        </w:rPr>
        <w:t xml:space="preserve">If you need more information, or wish to report an employer that you believe has violated this ordinance, please contact the OLSE at 415-554-5192 or email </w:t>
      </w:r>
      <w:hyperlink r:id="rId23" w:history="1">
        <w:r w:rsidRPr="000E5F8A">
          <w:rPr>
            <w:rStyle w:val="Hyperlink"/>
            <w:sz w:val="20"/>
            <w:szCs w:val="20"/>
          </w:rPr>
          <w:t>FCE@sfgov.org</w:t>
        </w:r>
      </w:hyperlink>
      <w:r w:rsidRPr="000E5F8A">
        <w:rPr>
          <w:sz w:val="20"/>
          <w:szCs w:val="20"/>
        </w:rPr>
        <w:t>.</w:t>
      </w:r>
    </w:p>
    <w:p w14:paraId="6720BCBA" w14:textId="77777777" w:rsidR="006228C6" w:rsidRDefault="006228C6"/>
    <w:sectPr w:rsidR="006228C6" w:rsidSect="00814FDF">
      <w:headerReference w:type="even" r:id="rId24"/>
      <w:headerReference w:type="default" r:id="rId25"/>
      <w:footerReference w:type="even" r:id="rId26"/>
      <w:footerReference w:type="default" r:id="rId27"/>
      <w:headerReference w:type="first" r:id="rId28"/>
      <w:footerReference w:type="first" r:id="rId29"/>
      <w:pgSz w:w="12240" w:h="15840"/>
      <w:pgMar w:top="1080" w:right="1152" w:bottom="360" w:left="1152"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1F93" w14:textId="77777777" w:rsidR="0091583E" w:rsidRDefault="0091583E" w:rsidP="00366354">
      <w:r>
        <w:separator/>
      </w:r>
    </w:p>
  </w:endnote>
  <w:endnote w:type="continuationSeparator" w:id="0">
    <w:p w14:paraId="794843E8" w14:textId="77777777" w:rsidR="0091583E" w:rsidRDefault="0091583E" w:rsidP="0036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473525"/>
      <w:docPartObj>
        <w:docPartGallery w:val="Page Numbers (Bottom of Page)"/>
        <w:docPartUnique/>
      </w:docPartObj>
    </w:sdtPr>
    <w:sdtEndPr>
      <w:rPr>
        <w:sz w:val="22"/>
        <w:szCs w:val="22"/>
      </w:rPr>
    </w:sdtEndPr>
    <w:sdtContent>
      <w:sdt>
        <w:sdtPr>
          <w:rPr>
            <w:sz w:val="22"/>
            <w:szCs w:val="22"/>
          </w:rPr>
          <w:id w:val="538167661"/>
          <w:docPartObj>
            <w:docPartGallery w:val="Page Numbers (Top of Page)"/>
            <w:docPartUnique/>
          </w:docPartObj>
        </w:sdtPr>
        <w:sdtEndPr/>
        <w:sdtContent>
          <w:p w14:paraId="4EB6CBA0" w14:textId="77777777" w:rsidR="000C73C8" w:rsidRPr="0083480F" w:rsidRDefault="00B839A5" w:rsidP="000C73C8">
            <w:pPr>
              <w:pStyle w:val="Footer"/>
              <w:jc w:val="center"/>
              <w:rPr>
                <w:bCs/>
                <w:color w:val="FF0000"/>
                <w:sz w:val="22"/>
                <w:szCs w:val="22"/>
              </w:rPr>
            </w:pPr>
            <w:r w:rsidRPr="0083480F">
              <w:rPr>
                <w:color w:val="FF0000"/>
                <w:sz w:val="22"/>
                <w:szCs w:val="22"/>
              </w:rPr>
              <w:t xml:space="preserve">HireRight Sample Disclosures &amp; Authorization – Employment Purpose </w:t>
            </w:r>
            <w:r w:rsidRPr="0083480F">
              <w:rPr>
                <w:bCs/>
                <w:color w:val="FF0000"/>
                <w:sz w:val="22"/>
                <w:szCs w:val="22"/>
              </w:rPr>
              <w:t>(</w:t>
            </w:r>
            <w:r>
              <w:rPr>
                <w:bCs/>
                <w:color w:val="FF0000"/>
                <w:sz w:val="22"/>
                <w:szCs w:val="22"/>
              </w:rPr>
              <w:t>September 2015</w:t>
            </w:r>
            <w:r w:rsidRPr="0083480F">
              <w:rPr>
                <w:bCs/>
                <w:color w:val="FF0000"/>
                <w:sz w:val="22"/>
                <w:szCs w:val="22"/>
              </w:rPr>
              <w:t>)</w:t>
            </w:r>
          </w:p>
          <w:p w14:paraId="55AE9775" w14:textId="77777777" w:rsidR="00D07D31" w:rsidRPr="000C73C8" w:rsidRDefault="00B839A5" w:rsidP="000C73C8">
            <w:pPr>
              <w:pStyle w:val="Footer"/>
              <w:jc w:val="center"/>
              <w:rPr>
                <w:b/>
                <w:bCs/>
                <w:sz w:val="22"/>
                <w:szCs w:val="22"/>
              </w:rPr>
            </w:pPr>
            <w:r w:rsidRPr="0048349B">
              <w:rPr>
                <w:sz w:val="22"/>
                <w:szCs w:val="22"/>
              </w:rPr>
              <w:t xml:space="preserve">Page </w:t>
            </w:r>
            <w:r w:rsidRPr="0048349B">
              <w:rPr>
                <w:b/>
                <w:bCs/>
                <w:sz w:val="22"/>
                <w:szCs w:val="22"/>
              </w:rPr>
              <w:fldChar w:fldCharType="begin"/>
            </w:r>
            <w:r w:rsidRPr="0048349B">
              <w:rPr>
                <w:b/>
                <w:bCs/>
                <w:sz w:val="22"/>
                <w:szCs w:val="22"/>
              </w:rPr>
              <w:instrText xml:space="preserve"> PAGE </w:instrText>
            </w:r>
            <w:r w:rsidRPr="0048349B">
              <w:rPr>
                <w:b/>
                <w:bCs/>
                <w:sz w:val="22"/>
                <w:szCs w:val="22"/>
              </w:rPr>
              <w:fldChar w:fldCharType="separate"/>
            </w:r>
            <w:r w:rsidR="000E5F8A">
              <w:rPr>
                <w:b/>
                <w:bCs/>
                <w:noProof/>
                <w:sz w:val="22"/>
                <w:szCs w:val="22"/>
              </w:rPr>
              <w:t>1</w:t>
            </w:r>
            <w:r w:rsidRPr="0048349B">
              <w:rPr>
                <w:b/>
                <w:bCs/>
                <w:sz w:val="22"/>
                <w:szCs w:val="22"/>
              </w:rPr>
              <w:fldChar w:fldCharType="end"/>
            </w:r>
            <w:r w:rsidRPr="0048349B">
              <w:rPr>
                <w:sz w:val="22"/>
                <w:szCs w:val="22"/>
              </w:rPr>
              <w:t xml:space="preserve"> of </w:t>
            </w:r>
            <w:r w:rsidRPr="0048349B">
              <w:rPr>
                <w:b/>
                <w:bCs/>
                <w:sz w:val="22"/>
                <w:szCs w:val="22"/>
              </w:rPr>
              <w:t xml:space="preserve">1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sz w:val="22"/>
        <w:szCs w:val="22"/>
      </w:rPr>
      <w:id w:val="872805661"/>
      <w:docPartObj>
        <w:docPartGallery w:val="Page Numbers (Top of Page)"/>
        <w:docPartUnique/>
      </w:docPartObj>
    </w:sdtPr>
    <w:sdtEndPr>
      <w:rPr>
        <w:color w:val="auto"/>
      </w:rPr>
    </w:sdtEndPr>
    <w:sdtContent>
      <w:p w14:paraId="50301D3F" w14:textId="77777777" w:rsidR="000C73C8" w:rsidRPr="0083480F" w:rsidRDefault="00B839A5" w:rsidP="000C73C8">
        <w:pPr>
          <w:pStyle w:val="Footer"/>
          <w:jc w:val="center"/>
          <w:rPr>
            <w:color w:val="FF0000"/>
            <w:sz w:val="22"/>
            <w:szCs w:val="22"/>
          </w:rPr>
        </w:pPr>
        <w:r w:rsidRPr="0083480F">
          <w:rPr>
            <w:color w:val="FF0000"/>
            <w:sz w:val="22"/>
            <w:szCs w:val="22"/>
          </w:rPr>
          <w:t xml:space="preserve">HireRight Sample Other Disclosures, Acknowledgements &amp; Authorizations </w:t>
        </w:r>
        <w:r w:rsidRPr="0083480F">
          <w:rPr>
            <w:bCs/>
            <w:color w:val="FF0000"/>
            <w:sz w:val="22"/>
            <w:szCs w:val="22"/>
          </w:rPr>
          <w:t>(</w:t>
        </w:r>
        <w:r>
          <w:rPr>
            <w:bCs/>
            <w:color w:val="FF0000"/>
            <w:sz w:val="22"/>
            <w:szCs w:val="22"/>
          </w:rPr>
          <w:t>September 2015</w:t>
        </w:r>
        <w:r w:rsidRPr="0083480F">
          <w:rPr>
            <w:bCs/>
            <w:color w:val="FF0000"/>
            <w:sz w:val="22"/>
            <w:szCs w:val="22"/>
          </w:rPr>
          <w:t>)</w:t>
        </w:r>
      </w:p>
      <w:p w14:paraId="60DEDE97" w14:textId="1FD5567E" w:rsidR="00C55DD1" w:rsidRPr="000C73C8" w:rsidRDefault="00B839A5" w:rsidP="000C73C8">
        <w:pPr>
          <w:pStyle w:val="Footer"/>
          <w:jc w:val="center"/>
          <w:rPr>
            <w:b/>
            <w:sz w:val="22"/>
            <w:szCs w:val="22"/>
          </w:rPr>
        </w:pPr>
        <w:r w:rsidRPr="0048349B">
          <w:rPr>
            <w:sz w:val="22"/>
            <w:szCs w:val="22"/>
          </w:rPr>
          <w:t xml:space="preserve">Page </w:t>
        </w:r>
        <w:r w:rsidRPr="0048349B">
          <w:rPr>
            <w:b/>
            <w:sz w:val="22"/>
            <w:szCs w:val="22"/>
          </w:rPr>
          <w:fldChar w:fldCharType="begin"/>
        </w:r>
        <w:r w:rsidRPr="0048349B">
          <w:rPr>
            <w:b/>
            <w:sz w:val="22"/>
            <w:szCs w:val="22"/>
          </w:rPr>
          <w:instrText xml:space="preserve"> PAGE  \* Arabic  \* MERGEFORMAT </w:instrText>
        </w:r>
        <w:r w:rsidRPr="0048349B">
          <w:rPr>
            <w:b/>
            <w:sz w:val="22"/>
            <w:szCs w:val="22"/>
          </w:rPr>
          <w:fldChar w:fldCharType="separate"/>
        </w:r>
        <w:r w:rsidR="000E5F8A">
          <w:rPr>
            <w:b/>
            <w:noProof/>
            <w:sz w:val="22"/>
            <w:szCs w:val="22"/>
          </w:rPr>
          <w:t>2</w:t>
        </w:r>
        <w:r w:rsidRPr="0048349B">
          <w:rPr>
            <w:b/>
            <w:sz w:val="22"/>
            <w:szCs w:val="22"/>
          </w:rPr>
          <w:fldChar w:fldCharType="end"/>
        </w:r>
        <w:r w:rsidRPr="0048349B">
          <w:rPr>
            <w:sz w:val="22"/>
            <w:szCs w:val="22"/>
          </w:rPr>
          <w:t xml:space="preserve"> of </w:t>
        </w:r>
        <w:r w:rsidRPr="0048349B">
          <w:rPr>
            <w:b/>
            <w:sz w:val="22"/>
            <w:szCs w:val="22"/>
          </w:rPr>
          <w:fldChar w:fldCharType="begin"/>
        </w:r>
        <w:r w:rsidRPr="0048349B">
          <w:rPr>
            <w:b/>
            <w:sz w:val="22"/>
            <w:szCs w:val="22"/>
          </w:rPr>
          <w:instrText xml:space="preserve"> SECTIONPAGES   \* MERGEFORMAT </w:instrText>
        </w:r>
        <w:r w:rsidRPr="0048349B">
          <w:rPr>
            <w:b/>
            <w:sz w:val="22"/>
            <w:szCs w:val="22"/>
          </w:rPr>
          <w:fldChar w:fldCharType="separate"/>
        </w:r>
        <w:r w:rsidR="00B97591">
          <w:rPr>
            <w:b/>
            <w:noProof/>
            <w:sz w:val="22"/>
            <w:szCs w:val="22"/>
          </w:rPr>
          <w:t>3</w:t>
        </w:r>
        <w:r w:rsidRPr="0048349B">
          <w:rPr>
            <w:b/>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241624"/>
      <w:docPartObj>
        <w:docPartGallery w:val="Page Numbers (Bottom of Page)"/>
        <w:docPartUnique/>
      </w:docPartObj>
    </w:sdtPr>
    <w:sdtEndPr>
      <w:rPr>
        <w:sz w:val="22"/>
        <w:szCs w:val="22"/>
      </w:rPr>
    </w:sdtEndPr>
    <w:sdtContent>
      <w:sdt>
        <w:sdtPr>
          <w:rPr>
            <w:sz w:val="22"/>
            <w:szCs w:val="22"/>
          </w:rPr>
          <w:id w:val="1919363113"/>
          <w:docPartObj>
            <w:docPartGallery w:val="Page Numbers (Top of Page)"/>
            <w:docPartUnique/>
          </w:docPartObj>
        </w:sdtPr>
        <w:sdtEndPr/>
        <w:sdtContent>
          <w:p w14:paraId="0A4615B3" w14:textId="77777777" w:rsidR="0048349B" w:rsidRPr="0083480F" w:rsidRDefault="00B839A5" w:rsidP="0048349B">
            <w:pPr>
              <w:pStyle w:val="Footer"/>
              <w:jc w:val="center"/>
              <w:rPr>
                <w:color w:val="FF0000"/>
                <w:sz w:val="22"/>
                <w:szCs w:val="22"/>
              </w:rPr>
            </w:pPr>
            <w:r w:rsidRPr="0083480F">
              <w:rPr>
                <w:color w:val="FF0000"/>
                <w:sz w:val="22"/>
                <w:szCs w:val="22"/>
              </w:rPr>
              <w:t xml:space="preserve">HireRight Sample Other Disclosures, Acknowledgements &amp; Authorizations </w:t>
            </w:r>
            <w:r w:rsidRPr="0083480F">
              <w:rPr>
                <w:bCs/>
                <w:color w:val="FF0000"/>
                <w:sz w:val="22"/>
                <w:szCs w:val="22"/>
              </w:rPr>
              <w:t>(</w:t>
            </w:r>
            <w:r>
              <w:rPr>
                <w:bCs/>
                <w:color w:val="FF0000"/>
                <w:sz w:val="22"/>
                <w:szCs w:val="22"/>
              </w:rPr>
              <w:t>September 2015</w:t>
            </w:r>
            <w:r w:rsidRPr="0083480F">
              <w:rPr>
                <w:bCs/>
                <w:color w:val="FF0000"/>
                <w:sz w:val="22"/>
                <w:szCs w:val="22"/>
              </w:rPr>
              <w:t>)</w:t>
            </w:r>
          </w:p>
          <w:p w14:paraId="3DBB33B8" w14:textId="48562343" w:rsidR="00C55DD1" w:rsidRPr="0048349B" w:rsidRDefault="00B839A5" w:rsidP="0048349B">
            <w:pPr>
              <w:pStyle w:val="Footer"/>
              <w:jc w:val="center"/>
              <w:rPr>
                <w:b/>
                <w:bCs/>
                <w:sz w:val="22"/>
                <w:szCs w:val="22"/>
              </w:rPr>
            </w:pPr>
            <w:r w:rsidRPr="0048349B">
              <w:rPr>
                <w:sz w:val="22"/>
                <w:szCs w:val="22"/>
              </w:rPr>
              <w:t xml:space="preserve">Page </w:t>
            </w:r>
            <w:r w:rsidRPr="0048349B">
              <w:rPr>
                <w:b/>
                <w:sz w:val="22"/>
                <w:szCs w:val="22"/>
              </w:rPr>
              <w:fldChar w:fldCharType="begin"/>
            </w:r>
            <w:r w:rsidRPr="0048349B">
              <w:rPr>
                <w:b/>
                <w:sz w:val="22"/>
                <w:szCs w:val="22"/>
              </w:rPr>
              <w:instrText xml:space="preserve"> PAGE  \* Arabic  \* MERGEFORMAT </w:instrText>
            </w:r>
            <w:r w:rsidRPr="0048349B">
              <w:rPr>
                <w:b/>
                <w:sz w:val="22"/>
                <w:szCs w:val="22"/>
              </w:rPr>
              <w:fldChar w:fldCharType="separate"/>
            </w:r>
            <w:r w:rsidR="000E5F8A">
              <w:rPr>
                <w:b/>
                <w:noProof/>
                <w:sz w:val="22"/>
                <w:szCs w:val="22"/>
              </w:rPr>
              <w:t>1</w:t>
            </w:r>
            <w:r w:rsidRPr="0048349B">
              <w:rPr>
                <w:b/>
                <w:sz w:val="22"/>
                <w:szCs w:val="22"/>
              </w:rPr>
              <w:fldChar w:fldCharType="end"/>
            </w:r>
            <w:r w:rsidRPr="0048349B">
              <w:rPr>
                <w:sz w:val="22"/>
                <w:szCs w:val="22"/>
              </w:rPr>
              <w:t xml:space="preserve"> of </w:t>
            </w:r>
            <w:r w:rsidRPr="0048349B">
              <w:rPr>
                <w:b/>
                <w:sz w:val="22"/>
                <w:szCs w:val="22"/>
              </w:rPr>
              <w:fldChar w:fldCharType="begin"/>
            </w:r>
            <w:r w:rsidRPr="0048349B">
              <w:rPr>
                <w:b/>
                <w:sz w:val="22"/>
                <w:szCs w:val="22"/>
              </w:rPr>
              <w:instrText xml:space="preserve"> SECTIONPAGES   \* MERGEFORMAT </w:instrText>
            </w:r>
            <w:r w:rsidRPr="0048349B">
              <w:rPr>
                <w:b/>
                <w:sz w:val="22"/>
                <w:szCs w:val="22"/>
              </w:rPr>
              <w:fldChar w:fldCharType="separate"/>
            </w:r>
            <w:r w:rsidR="00B97591">
              <w:rPr>
                <w:b/>
                <w:noProof/>
                <w:sz w:val="22"/>
                <w:szCs w:val="22"/>
              </w:rPr>
              <w:t>3</w:t>
            </w:r>
            <w:r w:rsidRPr="0048349B">
              <w:rPr>
                <w:b/>
                <w:sz w:val="22"/>
                <w:szCs w:val="22"/>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054268543"/>
      <w:docPartObj>
        <w:docPartGallery w:val="Page Numbers (Top of Page)"/>
        <w:docPartUnique/>
      </w:docPartObj>
    </w:sdtPr>
    <w:sdtEndPr/>
    <w:sdtContent>
      <w:p w14:paraId="2F053A57" w14:textId="77777777" w:rsidR="00814FDF" w:rsidRPr="007A259E" w:rsidRDefault="00B839A5" w:rsidP="000C73C8">
        <w:pPr>
          <w:pStyle w:val="Footer"/>
          <w:jc w:val="center"/>
          <w:rPr>
            <w:sz w:val="22"/>
            <w:szCs w:val="22"/>
          </w:rPr>
        </w:pPr>
        <w:r w:rsidRPr="007A259E">
          <w:rPr>
            <w:sz w:val="22"/>
            <w:szCs w:val="22"/>
          </w:rPr>
          <w:t>FCRA Summary of Rights</w:t>
        </w:r>
      </w:p>
      <w:p w14:paraId="769BDA2B" w14:textId="3761D1BE" w:rsidR="00814FDF" w:rsidRPr="000C73C8" w:rsidRDefault="00B839A5" w:rsidP="000C73C8">
        <w:pPr>
          <w:pStyle w:val="Footer"/>
          <w:jc w:val="center"/>
          <w:rPr>
            <w:b/>
            <w:sz w:val="22"/>
            <w:szCs w:val="22"/>
          </w:rPr>
        </w:pPr>
        <w:r w:rsidRPr="0048349B">
          <w:rPr>
            <w:sz w:val="22"/>
            <w:szCs w:val="22"/>
          </w:rPr>
          <w:t xml:space="preserve">Page </w:t>
        </w:r>
        <w:r w:rsidRPr="0048349B">
          <w:rPr>
            <w:b/>
            <w:sz w:val="22"/>
            <w:szCs w:val="22"/>
          </w:rPr>
          <w:fldChar w:fldCharType="begin"/>
        </w:r>
        <w:r w:rsidRPr="0048349B">
          <w:rPr>
            <w:b/>
            <w:sz w:val="22"/>
            <w:szCs w:val="22"/>
          </w:rPr>
          <w:instrText xml:space="preserve"> PAGE  \* Arabic  \* MERGEFORMAT </w:instrText>
        </w:r>
        <w:r w:rsidRPr="0048349B">
          <w:rPr>
            <w:b/>
            <w:sz w:val="22"/>
            <w:szCs w:val="22"/>
          </w:rPr>
          <w:fldChar w:fldCharType="separate"/>
        </w:r>
        <w:r w:rsidR="000E5F8A">
          <w:rPr>
            <w:b/>
            <w:noProof/>
            <w:sz w:val="22"/>
            <w:szCs w:val="22"/>
          </w:rPr>
          <w:t>2</w:t>
        </w:r>
        <w:r w:rsidRPr="0048349B">
          <w:rPr>
            <w:b/>
            <w:sz w:val="22"/>
            <w:szCs w:val="22"/>
          </w:rPr>
          <w:fldChar w:fldCharType="end"/>
        </w:r>
        <w:r w:rsidRPr="0048349B">
          <w:rPr>
            <w:sz w:val="22"/>
            <w:szCs w:val="22"/>
          </w:rPr>
          <w:t xml:space="preserve"> of </w:t>
        </w:r>
        <w:r w:rsidRPr="0048349B">
          <w:rPr>
            <w:b/>
            <w:sz w:val="22"/>
            <w:szCs w:val="22"/>
          </w:rPr>
          <w:fldChar w:fldCharType="begin"/>
        </w:r>
        <w:r w:rsidRPr="0048349B">
          <w:rPr>
            <w:b/>
            <w:sz w:val="22"/>
            <w:szCs w:val="22"/>
          </w:rPr>
          <w:instrText xml:space="preserve"> SECTIONPAGES   \* MERGEFORMAT </w:instrText>
        </w:r>
        <w:r w:rsidRPr="0048349B">
          <w:rPr>
            <w:b/>
            <w:sz w:val="22"/>
            <w:szCs w:val="22"/>
          </w:rPr>
          <w:fldChar w:fldCharType="separate"/>
        </w:r>
        <w:r w:rsidR="00B97591">
          <w:rPr>
            <w:b/>
            <w:noProof/>
            <w:sz w:val="22"/>
            <w:szCs w:val="22"/>
          </w:rPr>
          <w:t>2</w:t>
        </w:r>
        <w:r w:rsidRPr="0048349B">
          <w:rPr>
            <w:b/>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636822"/>
      <w:docPartObj>
        <w:docPartGallery w:val="Page Numbers (Bottom of Page)"/>
        <w:docPartUnique/>
      </w:docPartObj>
    </w:sdtPr>
    <w:sdtEndPr>
      <w:rPr>
        <w:sz w:val="22"/>
        <w:szCs w:val="22"/>
      </w:rPr>
    </w:sdtEndPr>
    <w:sdtContent>
      <w:sdt>
        <w:sdtPr>
          <w:rPr>
            <w:sz w:val="22"/>
            <w:szCs w:val="22"/>
          </w:rPr>
          <w:id w:val="-2087214668"/>
          <w:docPartObj>
            <w:docPartGallery w:val="Page Numbers (Top of Page)"/>
            <w:docPartUnique/>
          </w:docPartObj>
        </w:sdtPr>
        <w:sdtEndPr/>
        <w:sdtContent>
          <w:p w14:paraId="3C83283C" w14:textId="77777777" w:rsidR="00814FDF" w:rsidRPr="007A259E" w:rsidRDefault="00B839A5" w:rsidP="0048349B">
            <w:pPr>
              <w:pStyle w:val="Footer"/>
              <w:jc w:val="center"/>
              <w:rPr>
                <w:sz w:val="22"/>
                <w:szCs w:val="22"/>
              </w:rPr>
            </w:pPr>
            <w:r w:rsidRPr="007A259E">
              <w:rPr>
                <w:sz w:val="22"/>
                <w:szCs w:val="22"/>
              </w:rPr>
              <w:t>FCRA Summary of Rights</w:t>
            </w:r>
          </w:p>
          <w:p w14:paraId="0EAB6615" w14:textId="52ACD579" w:rsidR="00814FDF" w:rsidRPr="0048349B" w:rsidRDefault="00B839A5" w:rsidP="0048349B">
            <w:pPr>
              <w:pStyle w:val="Footer"/>
              <w:jc w:val="center"/>
              <w:rPr>
                <w:b/>
                <w:bCs/>
                <w:sz w:val="22"/>
                <w:szCs w:val="22"/>
              </w:rPr>
            </w:pPr>
            <w:r w:rsidRPr="0048349B">
              <w:rPr>
                <w:sz w:val="22"/>
                <w:szCs w:val="22"/>
              </w:rPr>
              <w:t xml:space="preserve">Page </w:t>
            </w:r>
            <w:r w:rsidRPr="0048349B">
              <w:rPr>
                <w:b/>
                <w:sz w:val="22"/>
                <w:szCs w:val="22"/>
              </w:rPr>
              <w:fldChar w:fldCharType="begin"/>
            </w:r>
            <w:r w:rsidRPr="0048349B">
              <w:rPr>
                <w:b/>
                <w:sz w:val="22"/>
                <w:szCs w:val="22"/>
              </w:rPr>
              <w:instrText xml:space="preserve"> PAGE  \* Arabic  \* MERGEFORMAT </w:instrText>
            </w:r>
            <w:r w:rsidRPr="0048349B">
              <w:rPr>
                <w:b/>
                <w:sz w:val="22"/>
                <w:szCs w:val="22"/>
              </w:rPr>
              <w:fldChar w:fldCharType="separate"/>
            </w:r>
            <w:r w:rsidR="000E5F8A">
              <w:rPr>
                <w:b/>
                <w:noProof/>
                <w:sz w:val="22"/>
                <w:szCs w:val="22"/>
              </w:rPr>
              <w:t>1</w:t>
            </w:r>
            <w:r w:rsidRPr="0048349B">
              <w:rPr>
                <w:b/>
                <w:sz w:val="22"/>
                <w:szCs w:val="22"/>
              </w:rPr>
              <w:fldChar w:fldCharType="end"/>
            </w:r>
            <w:r w:rsidRPr="0048349B">
              <w:rPr>
                <w:sz w:val="22"/>
                <w:szCs w:val="22"/>
              </w:rPr>
              <w:t xml:space="preserve"> of </w:t>
            </w:r>
            <w:r w:rsidRPr="0048349B">
              <w:rPr>
                <w:b/>
                <w:sz w:val="22"/>
                <w:szCs w:val="22"/>
              </w:rPr>
              <w:fldChar w:fldCharType="begin"/>
            </w:r>
            <w:r w:rsidRPr="0048349B">
              <w:rPr>
                <w:b/>
                <w:sz w:val="22"/>
                <w:szCs w:val="22"/>
              </w:rPr>
              <w:instrText xml:space="preserve"> SECTIONPAGES   \* MERGEFORMAT </w:instrText>
            </w:r>
            <w:r w:rsidRPr="0048349B">
              <w:rPr>
                <w:b/>
                <w:sz w:val="22"/>
                <w:szCs w:val="22"/>
              </w:rPr>
              <w:fldChar w:fldCharType="separate"/>
            </w:r>
            <w:r w:rsidR="00B97591">
              <w:rPr>
                <w:b/>
                <w:noProof/>
                <w:sz w:val="22"/>
                <w:szCs w:val="22"/>
              </w:rPr>
              <w:t>2</w:t>
            </w:r>
            <w:r w:rsidRPr="0048349B">
              <w:rPr>
                <w:b/>
                <w:sz w:val="22"/>
                <w:szCs w:val="22"/>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076496"/>
      <w:docPartObj>
        <w:docPartGallery w:val="Page Numbers (Bottom of Page)"/>
        <w:docPartUnique/>
      </w:docPartObj>
    </w:sdtPr>
    <w:sdtEndPr>
      <w:rPr>
        <w:sz w:val="22"/>
        <w:szCs w:val="22"/>
      </w:rPr>
    </w:sdtEndPr>
    <w:sdtContent>
      <w:sdt>
        <w:sdtPr>
          <w:rPr>
            <w:sz w:val="22"/>
            <w:szCs w:val="22"/>
          </w:rPr>
          <w:id w:val="-112831699"/>
          <w:docPartObj>
            <w:docPartGallery w:val="Page Numbers (Top of Page)"/>
            <w:docPartUnique/>
          </w:docPartObj>
        </w:sdtPr>
        <w:sdtEndPr/>
        <w:sdtContent>
          <w:p w14:paraId="75428D73" w14:textId="77777777" w:rsidR="000C73C8" w:rsidRPr="007A259E" w:rsidRDefault="00B839A5" w:rsidP="0048349B">
            <w:pPr>
              <w:pStyle w:val="Footer"/>
              <w:jc w:val="center"/>
              <w:rPr>
                <w:b/>
                <w:sz w:val="22"/>
                <w:szCs w:val="22"/>
              </w:rPr>
            </w:pPr>
            <w:r w:rsidRPr="007A259E">
              <w:rPr>
                <w:sz w:val="22"/>
                <w:szCs w:val="22"/>
              </w:rPr>
              <w:t xml:space="preserve">California </w:t>
            </w:r>
            <w:r>
              <w:rPr>
                <w:sz w:val="22"/>
                <w:szCs w:val="22"/>
              </w:rPr>
              <w:t xml:space="preserve">Disclosure &amp; </w:t>
            </w:r>
            <w:r w:rsidRPr="007A259E">
              <w:rPr>
                <w:sz w:val="22"/>
                <w:szCs w:val="22"/>
              </w:rPr>
              <w:t>Summary of Rights</w:t>
            </w:r>
          </w:p>
          <w:p w14:paraId="15396339" w14:textId="6A5C2967" w:rsidR="0048349B" w:rsidRPr="0048349B" w:rsidRDefault="00B839A5" w:rsidP="0048349B">
            <w:pPr>
              <w:pStyle w:val="Footer"/>
              <w:jc w:val="center"/>
              <w:rPr>
                <w:b/>
                <w:bCs/>
                <w:sz w:val="22"/>
                <w:szCs w:val="22"/>
              </w:rPr>
            </w:pPr>
            <w:r w:rsidRPr="0048349B">
              <w:rPr>
                <w:sz w:val="22"/>
                <w:szCs w:val="22"/>
              </w:rPr>
              <w:t xml:space="preserve">Page </w:t>
            </w:r>
            <w:r w:rsidRPr="0048349B">
              <w:rPr>
                <w:b/>
                <w:sz w:val="22"/>
                <w:szCs w:val="22"/>
              </w:rPr>
              <w:fldChar w:fldCharType="begin"/>
            </w:r>
            <w:r w:rsidRPr="0048349B">
              <w:rPr>
                <w:b/>
                <w:sz w:val="22"/>
                <w:szCs w:val="22"/>
              </w:rPr>
              <w:instrText xml:space="preserve"> PAGE  \* Arabic  \* MERGEFORMAT </w:instrText>
            </w:r>
            <w:r w:rsidRPr="0048349B">
              <w:rPr>
                <w:b/>
                <w:sz w:val="22"/>
                <w:szCs w:val="22"/>
              </w:rPr>
              <w:fldChar w:fldCharType="separate"/>
            </w:r>
            <w:r w:rsidR="000E5F8A">
              <w:rPr>
                <w:b/>
                <w:noProof/>
                <w:sz w:val="22"/>
                <w:szCs w:val="22"/>
              </w:rPr>
              <w:t>1</w:t>
            </w:r>
            <w:r w:rsidRPr="0048349B">
              <w:rPr>
                <w:b/>
                <w:sz w:val="22"/>
                <w:szCs w:val="22"/>
              </w:rPr>
              <w:fldChar w:fldCharType="end"/>
            </w:r>
            <w:r w:rsidRPr="0048349B">
              <w:rPr>
                <w:sz w:val="22"/>
                <w:szCs w:val="22"/>
              </w:rPr>
              <w:t xml:space="preserve"> of </w:t>
            </w:r>
            <w:r w:rsidRPr="0048349B">
              <w:rPr>
                <w:b/>
                <w:sz w:val="22"/>
                <w:szCs w:val="22"/>
              </w:rPr>
              <w:fldChar w:fldCharType="begin"/>
            </w:r>
            <w:r w:rsidRPr="0048349B">
              <w:rPr>
                <w:b/>
                <w:sz w:val="22"/>
                <w:szCs w:val="22"/>
              </w:rPr>
              <w:instrText xml:space="preserve"> SECTIONPAGES   \* MERGEFORMAT </w:instrText>
            </w:r>
            <w:r w:rsidRPr="0048349B">
              <w:rPr>
                <w:b/>
                <w:sz w:val="22"/>
                <w:szCs w:val="22"/>
              </w:rPr>
              <w:fldChar w:fldCharType="separate"/>
            </w:r>
            <w:r w:rsidR="00B97591">
              <w:rPr>
                <w:b/>
                <w:noProof/>
                <w:sz w:val="22"/>
                <w:szCs w:val="22"/>
              </w:rPr>
              <w:t>1</w:t>
            </w:r>
            <w:r w:rsidRPr="0048349B">
              <w:rPr>
                <w:b/>
                <w:sz w:val="22"/>
                <w:szCs w:val="22"/>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7E42" w14:textId="77777777" w:rsidR="00BF6CF4" w:rsidRDefault="009158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50923279"/>
      <w:docPartObj>
        <w:docPartGallery w:val="Page Numbers (Top of Page)"/>
        <w:docPartUnique/>
      </w:docPartObj>
    </w:sdtPr>
    <w:sdtEndPr/>
    <w:sdtContent>
      <w:p w14:paraId="4EC9C829" w14:textId="77777777" w:rsidR="00814FDF" w:rsidRPr="007A259E" w:rsidRDefault="00B839A5" w:rsidP="00814FDF">
        <w:pPr>
          <w:pStyle w:val="Footer"/>
          <w:jc w:val="center"/>
          <w:rPr>
            <w:sz w:val="22"/>
            <w:szCs w:val="22"/>
          </w:rPr>
        </w:pPr>
        <w:r w:rsidRPr="007A259E">
          <w:rPr>
            <w:sz w:val="22"/>
            <w:szCs w:val="22"/>
          </w:rPr>
          <w:t>San Francisco Fair Chance Ordinance</w:t>
        </w:r>
      </w:p>
      <w:p w14:paraId="2E10AA55" w14:textId="103DFAD2" w:rsidR="00814FDF" w:rsidRPr="0048349B" w:rsidRDefault="00B839A5" w:rsidP="00814FDF">
        <w:pPr>
          <w:pStyle w:val="Footer"/>
          <w:jc w:val="center"/>
          <w:rPr>
            <w:b/>
            <w:sz w:val="22"/>
            <w:szCs w:val="22"/>
          </w:rPr>
        </w:pPr>
        <w:r w:rsidRPr="0048349B">
          <w:rPr>
            <w:sz w:val="22"/>
            <w:szCs w:val="22"/>
          </w:rPr>
          <w:t xml:space="preserve">Page </w:t>
        </w:r>
        <w:r>
          <w:rPr>
            <w:b/>
            <w:sz w:val="22"/>
            <w:szCs w:val="22"/>
          </w:rPr>
          <w:fldChar w:fldCharType="begin"/>
        </w:r>
        <w:r>
          <w:rPr>
            <w:b/>
            <w:sz w:val="22"/>
            <w:szCs w:val="22"/>
          </w:rPr>
          <w:instrText xml:space="preserve"> PAGE  \* Arabic  \* MERGEFORMAT </w:instrText>
        </w:r>
        <w:r>
          <w:rPr>
            <w:b/>
            <w:sz w:val="22"/>
            <w:szCs w:val="22"/>
          </w:rPr>
          <w:fldChar w:fldCharType="separate"/>
        </w:r>
        <w:r w:rsidR="000E5F8A">
          <w:rPr>
            <w:b/>
            <w:noProof/>
            <w:sz w:val="22"/>
            <w:szCs w:val="22"/>
          </w:rPr>
          <w:t>1</w:t>
        </w:r>
        <w:r>
          <w:rPr>
            <w:b/>
            <w:sz w:val="22"/>
            <w:szCs w:val="22"/>
          </w:rPr>
          <w:fldChar w:fldCharType="end"/>
        </w:r>
        <w:r w:rsidRPr="0048349B">
          <w:rPr>
            <w:sz w:val="22"/>
            <w:szCs w:val="22"/>
          </w:rPr>
          <w:t xml:space="preserve"> of </w:t>
        </w:r>
        <w:r w:rsidRPr="0048349B">
          <w:rPr>
            <w:b/>
            <w:sz w:val="22"/>
            <w:szCs w:val="22"/>
          </w:rPr>
          <w:fldChar w:fldCharType="begin"/>
        </w:r>
        <w:r w:rsidRPr="0048349B">
          <w:rPr>
            <w:b/>
            <w:sz w:val="22"/>
            <w:szCs w:val="22"/>
          </w:rPr>
          <w:instrText xml:space="preserve"> SECTIONPAGES   \* MERGEFORMAT </w:instrText>
        </w:r>
        <w:r w:rsidRPr="0048349B">
          <w:rPr>
            <w:b/>
            <w:sz w:val="22"/>
            <w:szCs w:val="22"/>
          </w:rPr>
          <w:fldChar w:fldCharType="separate"/>
        </w:r>
        <w:r w:rsidR="00B97591">
          <w:rPr>
            <w:b/>
            <w:noProof/>
            <w:sz w:val="22"/>
            <w:szCs w:val="22"/>
          </w:rPr>
          <w:t>1</w:t>
        </w:r>
        <w:r w:rsidRPr="0048349B">
          <w:rPr>
            <w:b/>
            <w:sz w:val="22"/>
            <w:szCs w:val="22"/>
          </w:rPr>
          <w:fldChar w:fldCharType="end"/>
        </w:r>
      </w:p>
    </w:sdtContent>
  </w:sdt>
  <w:p w14:paraId="506345C3" w14:textId="77777777" w:rsidR="00BF6CF4" w:rsidRDefault="0091583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EC8F" w14:textId="77777777" w:rsidR="00BF6CF4" w:rsidRDefault="00915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1BA57" w14:textId="77777777" w:rsidR="0091583E" w:rsidRDefault="0091583E" w:rsidP="00366354">
      <w:r>
        <w:separator/>
      </w:r>
    </w:p>
  </w:footnote>
  <w:footnote w:type="continuationSeparator" w:id="0">
    <w:p w14:paraId="2A0F8012" w14:textId="77777777" w:rsidR="0091583E" w:rsidRDefault="0091583E" w:rsidP="0036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4770C" w14:textId="77777777" w:rsidR="0065259E" w:rsidRPr="00366354" w:rsidRDefault="00366354" w:rsidP="005C1E15">
    <w:pPr>
      <w:pStyle w:val="Header"/>
      <w:pBdr>
        <w:bottom w:val="single" w:sz="4" w:space="1" w:color="auto"/>
      </w:pBdr>
      <w:jc w:val="right"/>
    </w:pPr>
    <w:r>
      <w:rPr>
        <w:noProof/>
      </w:rPr>
      <w:drawing>
        <wp:inline distT="0" distB="0" distL="0" distR="0" wp14:anchorId="436BCF40" wp14:editId="19FAB1BB">
          <wp:extent cx="18440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Deck-and-Concrete-Logo-vector.jpg"/>
                  <pic:cNvPicPr/>
                </pic:nvPicPr>
                <pic:blipFill>
                  <a:blip r:embed="rId1">
                    <a:extLst>
                      <a:ext uri="{28A0092B-C50C-407E-A947-70E740481C1C}">
                        <a14:useLocalDpi xmlns:a14="http://schemas.microsoft.com/office/drawing/2010/main" val="0"/>
                      </a:ext>
                    </a:extLst>
                  </a:blip>
                  <a:stretch>
                    <a:fillRect/>
                  </a:stretch>
                </pic:blipFill>
                <pic:spPr>
                  <a:xfrm>
                    <a:off x="0" y="0"/>
                    <a:ext cx="1844040" cy="731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160E" w14:textId="77777777" w:rsidR="00E71FF4" w:rsidRDefault="0091583E" w:rsidP="00E71FF4">
    <w:pPr>
      <w:pStyle w:val="Header"/>
      <w:rPr>
        <w:b/>
        <w:bCs/>
        <w:sz w:val="22"/>
        <w:szCs w:val="22"/>
      </w:rPr>
    </w:pPr>
  </w:p>
  <w:p w14:paraId="68781BA2" w14:textId="77777777" w:rsidR="00E71FF4" w:rsidRDefault="0091583E" w:rsidP="00E71FF4">
    <w:pPr>
      <w:pStyle w:val="Header"/>
      <w:jc w:val="center"/>
      <w:rPr>
        <w:b/>
        <w:bCs/>
        <w:sz w:val="22"/>
        <w:szCs w:val="22"/>
      </w:rPr>
    </w:pPr>
  </w:p>
  <w:p w14:paraId="62C8FC20" w14:textId="77777777" w:rsidR="00E71FF4" w:rsidRPr="00E71FF4" w:rsidRDefault="0091583E" w:rsidP="00E71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DD55" w14:textId="77777777" w:rsidR="00E71FF4" w:rsidRPr="00E71FF4" w:rsidRDefault="0091583E" w:rsidP="00E71F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6C9B" w14:textId="77777777" w:rsidR="00BF6CF4" w:rsidRDefault="009158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0A93" w14:textId="77777777" w:rsidR="00BF6CF4" w:rsidRDefault="009158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6702" w14:textId="77777777" w:rsidR="00BF6CF4" w:rsidRDefault="00915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5913"/>
    <w:multiLevelType w:val="hybridMultilevel"/>
    <w:tmpl w:val="37B45808"/>
    <w:lvl w:ilvl="0" w:tplc="585E874C">
      <w:start w:val="1"/>
      <w:numFmt w:val="decimal"/>
      <w:lvlText w:val="%1."/>
      <w:lvlJc w:val="left"/>
      <w:pPr>
        <w:ind w:left="720" w:hanging="360"/>
      </w:pPr>
      <w:rPr>
        <w:rFonts w:hint="default"/>
      </w:rPr>
    </w:lvl>
    <w:lvl w:ilvl="1" w:tplc="DFB4B286" w:tentative="1">
      <w:start w:val="1"/>
      <w:numFmt w:val="lowerLetter"/>
      <w:lvlText w:val="%2."/>
      <w:lvlJc w:val="left"/>
      <w:pPr>
        <w:ind w:left="1440" w:hanging="360"/>
      </w:pPr>
    </w:lvl>
    <w:lvl w:ilvl="2" w:tplc="2DB6EFC0" w:tentative="1">
      <w:start w:val="1"/>
      <w:numFmt w:val="lowerRoman"/>
      <w:lvlText w:val="%3."/>
      <w:lvlJc w:val="right"/>
      <w:pPr>
        <w:ind w:left="2160" w:hanging="180"/>
      </w:pPr>
    </w:lvl>
    <w:lvl w:ilvl="3" w:tplc="3D2C45CC" w:tentative="1">
      <w:start w:val="1"/>
      <w:numFmt w:val="decimal"/>
      <w:lvlText w:val="%4."/>
      <w:lvlJc w:val="left"/>
      <w:pPr>
        <w:ind w:left="2880" w:hanging="360"/>
      </w:pPr>
    </w:lvl>
    <w:lvl w:ilvl="4" w:tplc="04601F50" w:tentative="1">
      <w:start w:val="1"/>
      <w:numFmt w:val="lowerLetter"/>
      <w:lvlText w:val="%5."/>
      <w:lvlJc w:val="left"/>
      <w:pPr>
        <w:ind w:left="3600" w:hanging="360"/>
      </w:pPr>
    </w:lvl>
    <w:lvl w:ilvl="5" w:tplc="ABF44502" w:tentative="1">
      <w:start w:val="1"/>
      <w:numFmt w:val="lowerRoman"/>
      <w:lvlText w:val="%6."/>
      <w:lvlJc w:val="right"/>
      <w:pPr>
        <w:ind w:left="4320" w:hanging="180"/>
      </w:pPr>
    </w:lvl>
    <w:lvl w:ilvl="6" w:tplc="B6E03EA8" w:tentative="1">
      <w:start w:val="1"/>
      <w:numFmt w:val="decimal"/>
      <w:lvlText w:val="%7."/>
      <w:lvlJc w:val="left"/>
      <w:pPr>
        <w:ind w:left="5040" w:hanging="360"/>
      </w:pPr>
    </w:lvl>
    <w:lvl w:ilvl="7" w:tplc="390CDA40" w:tentative="1">
      <w:start w:val="1"/>
      <w:numFmt w:val="lowerLetter"/>
      <w:lvlText w:val="%8."/>
      <w:lvlJc w:val="left"/>
      <w:pPr>
        <w:ind w:left="5760" w:hanging="360"/>
      </w:pPr>
    </w:lvl>
    <w:lvl w:ilvl="8" w:tplc="7BF25558" w:tentative="1">
      <w:start w:val="1"/>
      <w:numFmt w:val="lowerRoman"/>
      <w:lvlText w:val="%9."/>
      <w:lvlJc w:val="right"/>
      <w:pPr>
        <w:ind w:left="6480" w:hanging="180"/>
      </w:pPr>
    </w:lvl>
  </w:abstractNum>
  <w:abstractNum w:abstractNumId="1" w15:restartNumberingAfterBreak="0">
    <w:nsid w:val="24C54D8F"/>
    <w:multiLevelType w:val="hybridMultilevel"/>
    <w:tmpl w:val="F35A7A1E"/>
    <w:lvl w:ilvl="0" w:tplc="B088023C">
      <w:start w:val="1"/>
      <w:numFmt w:val="lowerLetter"/>
      <w:lvlText w:val="%1."/>
      <w:lvlJc w:val="left"/>
      <w:pPr>
        <w:ind w:left="720" w:hanging="360"/>
      </w:pPr>
      <w:rPr>
        <w:rFonts w:hint="default"/>
      </w:rPr>
    </w:lvl>
    <w:lvl w:ilvl="1" w:tplc="F956FD32" w:tentative="1">
      <w:start w:val="1"/>
      <w:numFmt w:val="lowerLetter"/>
      <w:lvlText w:val="%2."/>
      <w:lvlJc w:val="left"/>
      <w:pPr>
        <w:ind w:left="1440" w:hanging="360"/>
      </w:pPr>
    </w:lvl>
    <w:lvl w:ilvl="2" w:tplc="1ADA617C" w:tentative="1">
      <w:start w:val="1"/>
      <w:numFmt w:val="lowerRoman"/>
      <w:lvlText w:val="%3."/>
      <w:lvlJc w:val="right"/>
      <w:pPr>
        <w:ind w:left="2160" w:hanging="180"/>
      </w:pPr>
    </w:lvl>
    <w:lvl w:ilvl="3" w:tplc="4EAA5BB4" w:tentative="1">
      <w:start w:val="1"/>
      <w:numFmt w:val="decimal"/>
      <w:lvlText w:val="%4."/>
      <w:lvlJc w:val="left"/>
      <w:pPr>
        <w:ind w:left="2880" w:hanging="360"/>
      </w:pPr>
    </w:lvl>
    <w:lvl w:ilvl="4" w:tplc="89225C1E" w:tentative="1">
      <w:start w:val="1"/>
      <w:numFmt w:val="lowerLetter"/>
      <w:lvlText w:val="%5."/>
      <w:lvlJc w:val="left"/>
      <w:pPr>
        <w:ind w:left="3600" w:hanging="360"/>
      </w:pPr>
    </w:lvl>
    <w:lvl w:ilvl="5" w:tplc="563CB974" w:tentative="1">
      <w:start w:val="1"/>
      <w:numFmt w:val="lowerRoman"/>
      <w:lvlText w:val="%6."/>
      <w:lvlJc w:val="right"/>
      <w:pPr>
        <w:ind w:left="4320" w:hanging="180"/>
      </w:pPr>
    </w:lvl>
    <w:lvl w:ilvl="6" w:tplc="4F5AB5F2" w:tentative="1">
      <w:start w:val="1"/>
      <w:numFmt w:val="decimal"/>
      <w:lvlText w:val="%7."/>
      <w:lvlJc w:val="left"/>
      <w:pPr>
        <w:ind w:left="5040" w:hanging="360"/>
      </w:pPr>
    </w:lvl>
    <w:lvl w:ilvl="7" w:tplc="AAECD14C" w:tentative="1">
      <w:start w:val="1"/>
      <w:numFmt w:val="lowerLetter"/>
      <w:lvlText w:val="%8."/>
      <w:lvlJc w:val="left"/>
      <w:pPr>
        <w:ind w:left="5760" w:hanging="360"/>
      </w:pPr>
    </w:lvl>
    <w:lvl w:ilvl="8" w:tplc="11125692" w:tentative="1">
      <w:start w:val="1"/>
      <w:numFmt w:val="lowerRoman"/>
      <w:lvlText w:val="%9."/>
      <w:lvlJc w:val="right"/>
      <w:pPr>
        <w:ind w:left="6480" w:hanging="180"/>
      </w:pPr>
    </w:lvl>
  </w:abstractNum>
  <w:abstractNum w:abstractNumId="2" w15:restartNumberingAfterBreak="0">
    <w:nsid w:val="2A00018C"/>
    <w:multiLevelType w:val="hybridMultilevel"/>
    <w:tmpl w:val="A79C7DDE"/>
    <w:lvl w:ilvl="0" w:tplc="D9D8D0F6">
      <w:start w:val="45"/>
      <w:numFmt w:val="bullet"/>
      <w:lvlText w:val=""/>
      <w:lvlJc w:val="left"/>
      <w:pPr>
        <w:ind w:left="720" w:hanging="360"/>
      </w:pPr>
      <w:rPr>
        <w:rFonts w:ascii="Symbol" w:eastAsia="Times New Roman" w:hAnsi="Symbol" w:cs="Times New Roman" w:hint="default"/>
        <w:b/>
      </w:rPr>
    </w:lvl>
    <w:lvl w:ilvl="1" w:tplc="2E1A2B7E" w:tentative="1">
      <w:start w:val="1"/>
      <w:numFmt w:val="bullet"/>
      <w:lvlText w:val="o"/>
      <w:lvlJc w:val="left"/>
      <w:pPr>
        <w:ind w:left="1440" w:hanging="360"/>
      </w:pPr>
      <w:rPr>
        <w:rFonts w:ascii="Courier New" w:hAnsi="Courier New" w:cs="Courier New" w:hint="default"/>
      </w:rPr>
    </w:lvl>
    <w:lvl w:ilvl="2" w:tplc="F4701378" w:tentative="1">
      <w:start w:val="1"/>
      <w:numFmt w:val="bullet"/>
      <w:lvlText w:val=""/>
      <w:lvlJc w:val="left"/>
      <w:pPr>
        <w:ind w:left="2160" w:hanging="360"/>
      </w:pPr>
      <w:rPr>
        <w:rFonts w:ascii="Wingdings" w:hAnsi="Wingdings" w:hint="default"/>
      </w:rPr>
    </w:lvl>
    <w:lvl w:ilvl="3" w:tplc="644081D6" w:tentative="1">
      <w:start w:val="1"/>
      <w:numFmt w:val="bullet"/>
      <w:lvlText w:val=""/>
      <w:lvlJc w:val="left"/>
      <w:pPr>
        <w:ind w:left="2880" w:hanging="360"/>
      </w:pPr>
      <w:rPr>
        <w:rFonts w:ascii="Symbol" w:hAnsi="Symbol" w:hint="default"/>
      </w:rPr>
    </w:lvl>
    <w:lvl w:ilvl="4" w:tplc="6568DC42" w:tentative="1">
      <w:start w:val="1"/>
      <w:numFmt w:val="bullet"/>
      <w:lvlText w:val="o"/>
      <w:lvlJc w:val="left"/>
      <w:pPr>
        <w:ind w:left="3600" w:hanging="360"/>
      </w:pPr>
      <w:rPr>
        <w:rFonts w:ascii="Courier New" w:hAnsi="Courier New" w:cs="Courier New" w:hint="default"/>
      </w:rPr>
    </w:lvl>
    <w:lvl w:ilvl="5" w:tplc="59DA685A" w:tentative="1">
      <w:start w:val="1"/>
      <w:numFmt w:val="bullet"/>
      <w:lvlText w:val=""/>
      <w:lvlJc w:val="left"/>
      <w:pPr>
        <w:ind w:left="4320" w:hanging="360"/>
      </w:pPr>
      <w:rPr>
        <w:rFonts w:ascii="Wingdings" w:hAnsi="Wingdings" w:hint="default"/>
      </w:rPr>
    </w:lvl>
    <w:lvl w:ilvl="6" w:tplc="ABD6DE56" w:tentative="1">
      <w:start w:val="1"/>
      <w:numFmt w:val="bullet"/>
      <w:lvlText w:val=""/>
      <w:lvlJc w:val="left"/>
      <w:pPr>
        <w:ind w:left="5040" w:hanging="360"/>
      </w:pPr>
      <w:rPr>
        <w:rFonts w:ascii="Symbol" w:hAnsi="Symbol" w:hint="default"/>
      </w:rPr>
    </w:lvl>
    <w:lvl w:ilvl="7" w:tplc="0A50DB24" w:tentative="1">
      <w:start w:val="1"/>
      <w:numFmt w:val="bullet"/>
      <w:lvlText w:val="o"/>
      <w:lvlJc w:val="left"/>
      <w:pPr>
        <w:ind w:left="5760" w:hanging="360"/>
      </w:pPr>
      <w:rPr>
        <w:rFonts w:ascii="Courier New" w:hAnsi="Courier New" w:cs="Courier New" w:hint="default"/>
      </w:rPr>
    </w:lvl>
    <w:lvl w:ilvl="8" w:tplc="ACC4742C" w:tentative="1">
      <w:start w:val="1"/>
      <w:numFmt w:val="bullet"/>
      <w:lvlText w:val=""/>
      <w:lvlJc w:val="left"/>
      <w:pPr>
        <w:ind w:left="6480" w:hanging="360"/>
      </w:pPr>
      <w:rPr>
        <w:rFonts w:ascii="Wingdings" w:hAnsi="Wingdings" w:hint="default"/>
      </w:rPr>
    </w:lvl>
  </w:abstractNum>
  <w:abstractNum w:abstractNumId="3" w15:restartNumberingAfterBreak="0">
    <w:nsid w:val="65054F8F"/>
    <w:multiLevelType w:val="hybridMultilevel"/>
    <w:tmpl w:val="F35A7A1E"/>
    <w:lvl w:ilvl="0" w:tplc="7AE2A5F6">
      <w:start w:val="1"/>
      <w:numFmt w:val="lowerLetter"/>
      <w:lvlText w:val="%1."/>
      <w:lvlJc w:val="left"/>
      <w:pPr>
        <w:ind w:left="720" w:hanging="360"/>
      </w:pPr>
      <w:rPr>
        <w:rFonts w:hint="default"/>
      </w:rPr>
    </w:lvl>
    <w:lvl w:ilvl="1" w:tplc="67D61504" w:tentative="1">
      <w:start w:val="1"/>
      <w:numFmt w:val="lowerLetter"/>
      <w:lvlText w:val="%2."/>
      <w:lvlJc w:val="left"/>
      <w:pPr>
        <w:ind w:left="1440" w:hanging="360"/>
      </w:pPr>
    </w:lvl>
    <w:lvl w:ilvl="2" w:tplc="B1602328" w:tentative="1">
      <w:start w:val="1"/>
      <w:numFmt w:val="lowerRoman"/>
      <w:lvlText w:val="%3."/>
      <w:lvlJc w:val="right"/>
      <w:pPr>
        <w:ind w:left="2160" w:hanging="180"/>
      </w:pPr>
    </w:lvl>
    <w:lvl w:ilvl="3" w:tplc="275AF0FA" w:tentative="1">
      <w:start w:val="1"/>
      <w:numFmt w:val="decimal"/>
      <w:lvlText w:val="%4."/>
      <w:lvlJc w:val="left"/>
      <w:pPr>
        <w:ind w:left="2880" w:hanging="360"/>
      </w:pPr>
    </w:lvl>
    <w:lvl w:ilvl="4" w:tplc="53B0ECCC" w:tentative="1">
      <w:start w:val="1"/>
      <w:numFmt w:val="lowerLetter"/>
      <w:lvlText w:val="%5."/>
      <w:lvlJc w:val="left"/>
      <w:pPr>
        <w:ind w:left="3600" w:hanging="360"/>
      </w:pPr>
    </w:lvl>
    <w:lvl w:ilvl="5" w:tplc="FD9E48F4" w:tentative="1">
      <w:start w:val="1"/>
      <w:numFmt w:val="lowerRoman"/>
      <w:lvlText w:val="%6."/>
      <w:lvlJc w:val="right"/>
      <w:pPr>
        <w:ind w:left="4320" w:hanging="180"/>
      </w:pPr>
    </w:lvl>
    <w:lvl w:ilvl="6" w:tplc="4C68ACFA" w:tentative="1">
      <w:start w:val="1"/>
      <w:numFmt w:val="decimal"/>
      <w:lvlText w:val="%7."/>
      <w:lvlJc w:val="left"/>
      <w:pPr>
        <w:ind w:left="5040" w:hanging="360"/>
      </w:pPr>
    </w:lvl>
    <w:lvl w:ilvl="7" w:tplc="7D5C994C" w:tentative="1">
      <w:start w:val="1"/>
      <w:numFmt w:val="lowerLetter"/>
      <w:lvlText w:val="%8."/>
      <w:lvlJc w:val="left"/>
      <w:pPr>
        <w:ind w:left="5760" w:hanging="360"/>
      </w:pPr>
    </w:lvl>
    <w:lvl w:ilvl="8" w:tplc="650AD05C"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54"/>
    <w:rsid w:val="000E5F8A"/>
    <w:rsid w:val="00366354"/>
    <w:rsid w:val="00420076"/>
    <w:rsid w:val="005C1E15"/>
    <w:rsid w:val="006228C6"/>
    <w:rsid w:val="0091583E"/>
    <w:rsid w:val="009A5C2C"/>
    <w:rsid w:val="00B839A5"/>
    <w:rsid w:val="00B97591"/>
    <w:rsid w:val="00BE0DB2"/>
    <w:rsid w:val="00EC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CA609"/>
  <w15:docId w15:val="{64C05F4A-B70E-4060-8A8D-4AAAD688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aliases w:val="bs"/>
    <w:basedOn w:val="Normal"/>
    <w:qFormat/>
    <w:rsid w:val="00366354"/>
  </w:style>
  <w:style w:type="paragraph" w:styleId="Footer">
    <w:name w:val="footer"/>
    <w:basedOn w:val="Normal"/>
    <w:link w:val="FooterChar"/>
    <w:unhideWhenUsed/>
    <w:rsid w:val="00366354"/>
    <w:pPr>
      <w:tabs>
        <w:tab w:val="center" w:pos="4680"/>
        <w:tab w:val="right" w:pos="9360"/>
      </w:tabs>
    </w:pPr>
  </w:style>
  <w:style w:type="character" w:customStyle="1" w:styleId="FooterChar">
    <w:name w:val="Footer Char"/>
    <w:basedOn w:val="DefaultParagraphFont"/>
    <w:link w:val="Footer"/>
    <w:rsid w:val="00366354"/>
    <w:rPr>
      <w:rFonts w:ascii="Times New Roman" w:eastAsia="Times New Roman" w:hAnsi="Times New Roman" w:cs="Times New Roman"/>
      <w:sz w:val="24"/>
      <w:szCs w:val="24"/>
    </w:rPr>
  </w:style>
  <w:style w:type="paragraph" w:styleId="Header">
    <w:name w:val="header"/>
    <w:basedOn w:val="Normal"/>
    <w:link w:val="HeaderChar"/>
    <w:unhideWhenUsed/>
    <w:rsid w:val="00366354"/>
    <w:pPr>
      <w:tabs>
        <w:tab w:val="center" w:pos="4680"/>
        <w:tab w:val="right" w:pos="9360"/>
      </w:tabs>
    </w:pPr>
  </w:style>
  <w:style w:type="character" w:customStyle="1" w:styleId="HeaderChar">
    <w:name w:val="Header Char"/>
    <w:basedOn w:val="DefaultParagraphFont"/>
    <w:link w:val="Header"/>
    <w:rsid w:val="00366354"/>
    <w:rPr>
      <w:rFonts w:ascii="Times New Roman" w:eastAsia="Times New Roman" w:hAnsi="Times New Roman" w:cs="Times New Roman"/>
      <w:sz w:val="24"/>
      <w:szCs w:val="24"/>
    </w:rPr>
  </w:style>
  <w:style w:type="paragraph" w:customStyle="1" w:styleId="Address">
    <w:name w:val="Address"/>
    <w:basedOn w:val="Normal"/>
    <w:rsid w:val="00366354"/>
    <w:rPr>
      <w:rFonts w:ascii="Bookman Old Style" w:hAnsi="Bookman Old Style"/>
    </w:rPr>
  </w:style>
  <w:style w:type="character" w:styleId="Hyperlink">
    <w:name w:val="Hyperlink"/>
    <w:rsid w:val="00366354"/>
    <w:rPr>
      <w:color w:val="0000FF"/>
      <w:u w:val="single"/>
    </w:rPr>
  </w:style>
  <w:style w:type="paragraph" w:styleId="BodyText">
    <w:name w:val="Body Text"/>
    <w:aliases w:val="Body Text Char1,Body Text Char Char"/>
    <w:basedOn w:val="Normal"/>
    <w:link w:val="BodyTextChar"/>
    <w:rsid w:val="00366354"/>
    <w:pPr>
      <w:autoSpaceDE w:val="0"/>
      <w:autoSpaceDN w:val="0"/>
      <w:adjustRightInd w:val="0"/>
    </w:pPr>
    <w:rPr>
      <w:sz w:val="22"/>
      <w:szCs w:val="22"/>
    </w:rPr>
  </w:style>
  <w:style w:type="character" w:customStyle="1" w:styleId="BodyTextChar">
    <w:name w:val="Body Text Char"/>
    <w:aliases w:val="Body Text Char1 Char,Body Text Char Char Char"/>
    <w:basedOn w:val="DefaultParagraphFont"/>
    <w:link w:val="BodyText"/>
    <w:rsid w:val="00366354"/>
    <w:rPr>
      <w:rFonts w:ascii="Times New Roman" w:eastAsia="Times New Roman" w:hAnsi="Times New Roman" w:cs="Times New Roman"/>
    </w:rPr>
  </w:style>
  <w:style w:type="paragraph" w:customStyle="1" w:styleId="StyleBodyText11ptCharChar">
    <w:name w:val="Style Body Text + 11 pt Char Char"/>
    <w:basedOn w:val="BodyText"/>
    <w:link w:val="StyleBodyText11ptCharCharChar"/>
    <w:autoRedefine/>
    <w:rsid w:val="00366354"/>
    <w:pPr>
      <w:widowControl w:val="0"/>
      <w:autoSpaceDE/>
      <w:autoSpaceDN/>
      <w:adjustRightInd/>
      <w:spacing w:after="240"/>
      <w:jc w:val="both"/>
    </w:pPr>
    <w:rPr>
      <w:rFonts w:ascii="Arial" w:hAnsi="Arial" w:cs="Arial"/>
    </w:rPr>
  </w:style>
  <w:style w:type="character" w:customStyle="1" w:styleId="StyleBodyText11ptCharCharChar">
    <w:name w:val="Style Body Text + 11 pt Char Char Char"/>
    <w:link w:val="StyleBodyText11ptCharChar"/>
    <w:rsid w:val="00366354"/>
    <w:rPr>
      <w:rFonts w:ascii="Arial" w:eastAsia="Times New Roman" w:hAnsi="Arial" w:cs="Arial"/>
    </w:rPr>
  </w:style>
  <w:style w:type="paragraph" w:styleId="ListParagraph">
    <w:name w:val="List Paragraph"/>
    <w:basedOn w:val="Normal"/>
    <w:uiPriority w:val="34"/>
    <w:qFormat/>
    <w:rsid w:val="00366354"/>
    <w:pPr>
      <w:ind w:left="720"/>
    </w:pPr>
  </w:style>
  <w:style w:type="table" w:styleId="TableGrid">
    <w:name w:val="Table Grid"/>
    <w:basedOn w:val="TableNormal"/>
    <w:uiPriority w:val="59"/>
    <w:rsid w:val="003663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54"/>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366354"/>
    <w:rPr>
      <w:rFonts w:ascii="Tahoma" w:hAnsi="Tahoma" w:cs="Tahoma"/>
      <w:sz w:val="16"/>
      <w:szCs w:val="16"/>
    </w:rPr>
  </w:style>
  <w:style w:type="character" w:customStyle="1" w:styleId="BalloonTextChar">
    <w:name w:val="Balloon Text Char"/>
    <w:basedOn w:val="DefaultParagraphFont"/>
    <w:link w:val="BalloonText"/>
    <w:uiPriority w:val="99"/>
    <w:semiHidden/>
    <w:rsid w:val="003663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hireright.com/Privacy-Policy.aspx" TargetMode="External"/><Relationship Id="rId7" Type="http://schemas.openxmlformats.org/officeDocument/2006/relationships/hyperlink" Target="http://www.hireright.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hireright.com"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reright.com/Privacy-Policy.aspx"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mailto:FCE@sfgov.org" TargetMode="External"/><Relationship Id="rId28" Type="http://schemas.openxmlformats.org/officeDocument/2006/relationships/header" Target="header6.xml"/><Relationship Id="rId10" Type="http://schemas.openxmlformats.org/officeDocument/2006/relationships/hyperlink" Target="http://www.hireright.com/Privacy-Policy.aspx"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4097</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Tammy Krahn</cp:lastModifiedBy>
  <cp:revision>2</cp:revision>
  <dcterms:created xsi:type="dcterms:W3CDTF">2021-04-01T16:08:00Z</dcterms:created>
  <dcterms:modified xsi:type="dcterms:W3CDTF">2021-04-01T16:08:00Z</dcterms:modified>
</cp:coreProperties>
</file>